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166"/>
        <w:gridCol w:w="3321"/>
      </w:tblGrid>
      <w:tr w:rsidR="00AE708F">
        <w:trPr>
          <w:cantSplit/>
          <w:trHeight w:val="1985"/>
        </w:trPr>
        <w:tc>
          <w:tcPr>
            <w:tcW w:w="6166" w:type="dxa"/>
          </w:tcPr>
          <w:p w:rsidR="00AE708F" w:rsidRDefault="00AE708F" w:rsidP="00F342C0">
            <w:pPr>
              <w:spacing w:line="200" w:lineRule="atLeast"/>
              <w:ind w:right="154"/>
              <w:rPr>
                <w:rFonts w:ascii="Arial" w:hAnsi="Arial"/>
                <w:sz w:val="14"/>
              </w:rPr>
            </w:pPr>
          </w:p>
          <w:p w:rsidR="00AE708F" w:rsidRPr="0039722E" w:rsidRDefault="00AE708F" w:rsidP="0039722E">
            <w:pPr>
              <w:pBdr>
                <w:top w:val="single" w:sz="4" w:space="1" w:color="auto"/>
              </w:pBdr>
              <w:spacing w:line="200" w:lineRule="atLeast"/>
              <w:ind w:right="154"/>
              <w:rPr>
                <w:rFonts w:ascii="Arial" w:hAnsi="Arial"/>
                <w:b/>
                <w:caps/>
                <w:sz w:val="18"/>
              </w:rPr>
            </w:pPr>
            <w:r w:rsidRPr="0039722E">
              <w:rPr>
                <w:rFonts w:ascii="Arial" w:hAnsi="Arial"/>
                <w:b/>
                <w:caps/>
                <w:sz w:val="18"/>
              </w:rPr>
              <w:t>QUALINET – European Network on Quality of Experience in Multimedia Systems and Services</w:t>
            </w:r>
          </w:p>
          <w:p w:rsidR="00AE708F" w:rsidRDefault="00AE708F">
            <w:pPr>
              <w:rPr>
                <w:sz w:val="16"/>
                <w:lang w:val="en-US"/>
              </w:rPr>
            </w:pPr>
          </w:p>
          <w:p w:rsidR="00AE708F" w:rsidRDefault="00AE708F" w:rsidP="00174E4A">
            <w:pPr>
              <w:spacing w:line="200" w:lineRule="atLeast"/>
              <w:ind w:right="154"/>
              <w:rPr>
                <w:rFonts w:ascii="Arial" w:hAnsi="Arial"/>
                <w:b/>
                <w:caps/>
                <w:sz w:val="18"/>
              </w:rPr>
            </w:pPr>
            <w:r>
              <w:rPr>
                <w:rFonts w:ascii="Arial" w:hAnsi="Arial"/>
                <w:b/>
                <w:sz w:val="18"/>
              </w:rPr>
              <w:t>COST ACTION IC1003</w:t>
            </w:r>
          </w:p>
          <w:p w:rsidR="00AE708F" w:rsidRPr="0016396E" w:rsidRDefault="00E62562" w:rsidP="00174E4A">
            <w:pPr>
              <w:spacing w:line="200" w:lineRule="atLeast"/>
              <w:ind w:right="154"/>
              <w:rPr>
                <w:rFonts w:ascii="Arial" w:hAnsi="Arial"/>
                <w:b/>
                <w:caps/>
                <w:sz w:val="18"/>
              </w:rPr>
            </w:pPr>
            <w:hyperlink r:id="rId7" w:history="1">
              <w:r w:rsidR="001730E0" w:rsidRPr="00960D8E">
                <w:rPr>
                  <w:rStyle w:val="Hyperlnk"/>
                  <w:rFonts w:ascii="Arial" w:hAnsi="Arial"/>
                  <w:b/>
                  <w:caps/>
                  <w:sz w:val="18"/>
                </w:rPr>
                <w:t>http://www.qualinet.eu</w:t>
              </w:r>
            </w:hyperlink>
          </w:p>
        </w:tc>
        <w:tc>
          <w:tcPr>
            <w:tcW w:w="3321" w:type="dxa"/>
            <w:vMerge w:val="restart"/>
          </w:tcPr>
          <w:p w:rsidR="00AE708F" w:rsidRDefault="00917DE7">
            <w:pPr>
              <w:spacing w:before="60"/>
            </w:pPr>
            <w:r>
              <w:rPr>
                <w:rFonts w:ascii="font403" w:hAnsi="font403"/>
                <w:noProof/>
                <w:lang w:val="sv-SE" w:eastAsia="sv-SE"/>
              </w:rPr>
              <w:drawing>
                <wp:inline distT="0" distB="0" distL="0" distR="0">
                  <wp:extent cx="2012950" cy="1668780"/>
                  <wp:effectExtent l="19050" t="0" r="6350" b="0"/>
                  <wp:docPr id="1" name="Picture 1" descr="Qualinetlogo10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netlogo1003S"/>
                          <pic:cNvPicPr>
                            <a:picLocks noChangeAspect="1" noChangeArrowheads="1"/>
                          </pic:cNvPicPr>
                        </pic:nvPicPr>
                        <pic:blipFill>
                          <a:blip r:embed="rId8" cstate="print"/>
                          <a:srcRect/>
                          <a:stretch>
                            <a:fillRect/>
                          </a:stretch>
                        </pic:blipFill>
                        <pic:spPr bwMode="auto">
                          <a:xfrm>
                            <a:off x="0" y="0"/>
                            <a:ext cx="2012950" cy="1668780"/>
                          </a:xfrm>
                          <a:prstGeom prst="rect">
                            <a:avLst/>
                          </a:prstGeom>
                          <a:noFill/>
                          <a:ln w="9525">
                            <a:noFill/>
                            <a:miter lim="800000"/>
                            <a:headEnd/>
                            <a:tailEnd/>
                          </a:ln>
                        </pic:spPr>
                      </pic:pic>
                    </a:graphicData>
                  </a:graphic>
                </wp:inline>
              </w:drawing>
            </w:r>
          </w:p>
        </w:tc>
      </w:tr>
      <w:tr w:rsidR="00AE708F">
        <w:trPr>
          <w:cantSplit/>
          <w:trHeight w:val="740"/>
        </w:trPr>
        <w:tc>
          <w:tcPr>
            <w:tcW w:w="6166" w:type="dxa"/>
          </w:tcPr>
          <w:p w:rsidR="00AE708F" w:rsidRPr="001730E0" w:rsidRDefault="00AE708F" w:rsidP="0002489F">
            <w:pPr>
              <w:rPr>
                <w:rFonts w:ascii="Arial" w:hAnsi="Arial" w:cs="Arial"/>
                <w:b/>
                <w:sz w:val="32"/>
                <w:szCs w:val="32"/>
                <w:lang w:val="it-IT"/>
              </w:rPr>
            </w:pPr>
            <w:r w:rsidRPr="001730E0">
              <w:rPr>
                <w:rFonts w:ascii="Arial" w:hAnsi="Arial" w:cs="Arial"/>
                <w:b/>
                <w:sz w:val="32"/>
                <w:szCs w:val="32"/>
                <w:lang w:val="it-IT"/>
              </w:rPr>
              <w:t xml:space="preserve">Document: </w:t>
            </w:r>
            <w:r w:rsidR="00527E0C" w:rsidRPr="001730E0">
              <w:rPr>
                <w:rFonts w:ascii="Arial" w:hAnsi="Arial" w:cs="Arial"/>
                <w:b/>
                <w:sz w:val="32"/>
                <w:szCs w:val="32"/>
                <w:lang w:val="it-IT"/>
              </w:rPr>
              <w:t>Qo00</w:t>
            </w:r>
            <w:r w:rsidR="00970815" w:rsidRPr="00970815">
              <w:rPr>
                <w:rFonts w:ascii="Arial" w:hAnsi="Arial" w:cs="Arial"/>
                <w:b/>
                <w:sz w:val="32"/>
                <w:szCs w:val="32"/>
                <w:highlight w:val="yellow"/>
                <w:lang w:val="it-IT"/>
              </w:rPr>
              <w:t>XX</w:t>
            </w:r>
          </w:p>
          <w:p w:rsidR="00AE708F" w:rsidRPr="001730E0" w:rsidRDefault="00444877" w:rsidP="00CF5C91">
            <w:pPr>
              <w:rPr>
                <w:rFonts w:ascii="Arial" w:hAnsi="Arial" w:cs="Arial"/>
                <w:sz w:val="20"/>
                <w:lang w:val="en-GB"/>
              </w:rPr>
            </w:pPr>
            <w:proofErr w:type="spellStart"/>
            <w:r>
              <w:rPr>
                <w:rFonts w:ascii="Arial" w:hAnsi="Arial" w:cs="Arial"/>
                <w:b/>
                <w:sz w:val="20"/>
                <w:lang w:val="en-GB"/>
              </w:rPr>
              <w:t>Source</w:t>
            </w:r>
            <w:r w:rsidR="00AE708F" w:rsidRPr="001730E0">
              <w:rPr>
                <w:rFonts w:ascii="Arial" w:hAnsi="Arial" w:cs="Arial"/>
                <w:b/>
                <w:sz w:val="20"/>
                <w:lang w:val="en-GB"/>
              </w:rPr>
              <w:t>:</w:t>
            </w:r>
            <w:r>
              <w:rPr>
                <w:rFonts w:ascii="Arial" w:hAnsi="Arial" w:cs="Arial"/>
                <w:sz w:val="20"/>
                <w:lang w:val="en-GB"/>
              </w:rPr>
              <w:t>Touradj</w:t>
            </w:r>
            <w:proofErr w:type="spellEnd"/>
            <w:r>
              <w:rPr>
                <w:rFonts w:ascii="Arial" w:hAnsi="Arial" w:cs="Arial"/>
                <w:sz w:val="20"/>
                <w:lang w:val="en-GB"/>
              </w:rPr>
              <w:t xml:space="preserve"> Ebrahimi</w:t>
            </w:r>
            <w:r w:rsidR="00AE708F" w:rsidRPr="001730E0">
              <w:rPr>
                <w:rFonts w:ascii="Arial" w:hAnsi="Arial" w:cs="Arial"/>
                <w:sz w:val="20"/>
                <w:lang w:val="en-GB"/>
              </w:rPr>
              <w:t xml:space="preserve">, </w:t>
            </w:r>
            <w:r w:rsidR="00D264EB">
              <w:rPr>
                <w:rFonts w:ascii="Arial" w:hAnsi="Arial" w:cs="Arial"/>
                <w:sz w:val="20"/>
                <w:lang w:val="en-GB"/>
              </w:rPr>
              <w:t>Action</w:t>
            </w:r>
            <w:r>
              <w:rPr>
                <w:rFonts w:ascii="Arial" w:hAnsi="Arial" w:cs="Arial"/>
                <w:sz w:val="20"/>
                <w:lang w:val="en-GB"/>
              </w:rPr>
              <w:t xml:space="preserve"> Chair</w:t>
            </w:r>
          </w:p>
          <w:p w:rsidR="00AE708F" w:rsidRPr="0002489F" w:rsidRDefault="00AE708F" w:rsidP="00CF5C91">
            <w:pPr>
              <w:rPr>
                <w:rFonts w:ascii="Arial" w:hAnsi="Arial" w:cs="Arial"/>
                <w:sz w:val="20"/>
                <w:lang w:val="en-US"/>
              </w:rPr>
            </w:pPr>
            <w:r w:rsidRPr="0002489F">
              <w:rPr>
                <w:rFonts w:ascii="Arial" w:hAnsi="Arial" w:cs="Arial"/>
                <w:b/>
                <w:sz w:val="20"/>
                <w:lang w:val="en-US"/>
              </w:rPr>
              <w:t>Date:</w:t>
            </w:r>
            <w:r w:rsidR="001730E0">
              <w:rPr>
                <w:rFonts w:ascii="Arial" w:hAnsi="Arial" w:cs="Arial"/>
                <w:sz w:val="20"/>
                <w:lang w:val="en-US"/>
              </w:rPr>
              <w:t xml:space="preserve"> </w:t>
            </w:r>
            <w:r w:rsidR="00970815" w:rsidRPr="00970815">
              <w:rPr>
                <w:rFonts w:ascii="Arial" w:hAnsi="Arial" w:cs="Arial"/>
                <w:sz w:val="20"/>
                <w:highlight w:val="yellow"/>
                <w:lang w:val="en-US"/>
              </w:rPr>
              <w:t>XX</w:t>
            </w:r>
            <w:r w:rsidR="001730E0">
              <w:rPr>
                <w:rFonts w:ascii="Arial" w:hAnsi="Arial" w:cs="Arial"/>
                <w:sz w:val="20"/>
                <w:lang w:val="en-US"/>
              </w:rPr>
              <w:t>.</w:t>
            </w:r>
            <w:r w:rsidR="00970815" w:rsidRPr="00970815">
              <w:rPr>
                <w:rFonts w:ascii="Arial" w:hAnsi="Arial" w:cs="Arial"/>
                <w:sz w:val="20"/>
                <w:highlight w:val="yellow"/>
                <w:lang w:val="en-US"/>
              </w:rPr>
              <w:t>XX</w:t>
            </w:r>
            <w:r>
              <w:rPr>
                <w:rFonts w:ascii="Arial" w:hAnsi="Arial" w:cs="Arial"/>
                <w:sz w:val="20"/>
                <w:lang w:val="en-US"/>
              </w:rPr>
              <w:t>.2011</w:t>
            </w:r>
          </w:p>
          <w:p w:rsidR="00AE708F" w:rsidRPr="0002489F" w:rsidRDefault="00AE708F" w:rsidP="00CF5C91">
            <w:pPr>
              <w:rPr>
                <w:rFonts w:ascii="Arial" w:hAnsi="Arial" w:cs="Arial"/>
                <w:sz w:val="20"/>
                <w:lang w:val="en-US"/>
              </w:rPr>
            </w:pPr>
            <w:proofErr w:type="spellStart"/>
            <w:r w:rsidRPr="0002489F">
              <w:rPr>
                <w:rFonts w:ascii="Arial" w:hAnsi="Arial" w:cs="Arial"/>
                <w:b/>
                <w:sz w:val="20"/>
                <w:lang w:val="en-US"/>
              </w:rPr>
              <w:t>Type:</w:t>
            </w:r>
            <w:r w:rsidRPr="0002489F">
              <w:rPr>
                <w:rFonts w:ascii="Arial" w:hAnsi="Arial" w:cs="Arial"/>
                <w:sz w:val="20"/>
                <w:lang w:val="en-US"/>
              </w:rPr>
              <w:t>Output</w:t>
            </w:r>
            <w:proofErr w:type="spellEnd"/>
          </w:p>
          <w:p w:rsidR="00970815" w:rsidRDefault="00AE708F" w:rsidP="00CF5C91">
            <w:pPr>
              <w:rPr>
                <w:rFonts w:ascii="Arial" w:hAnsi="Arial" w:cs="Arial"/>
                <w:sz w:val="20"/>
                <w:lang w:val="en-US"/>
              </w:rPr>
            </w:pPr>
            <w:r w:rsidRPr="0002489F">
              <w:rPr>
                <w:rFonts w:ascii="Arial" w:hAnsi="Arial" w:cs="Arial"/>
                <w:b/>
                <w:sz w:val="20"/>
                <w:lang w:val="en-US"/>
              </w:rPr>
              <w:t>Destination:</w:t>
            </w:r>
            <w:r>
              <w:rPr>
                <w:rFonts w:ascii="Arial" w:hAnsi="Arial" w:cs="Arial"/>
                <w:sz w:val="20"/>
                <w:lang w:val="en-US"/>
              </w:rPr>
              <w:t xml:space="preserve">  </w:t>
            </w:r>
            <w:r w:rsidR="00970815" w:rsidRPr="00970815">
              <w:rPr>
                <w:rFonts w:ascii="Arial" w:hAnsi="Arial" w:cs="Arial"/>
                <w:sz w:val="20"/>
                <w:lang w:val="en-US"/>
              </w:rPr>
              <w:t>Video Quality Experts Group (VQEG)</w:t>
            </w:r>
          </w:p>
          <w:p w:rsidR="005B771D" w:rsidRPr="0002489F" w:rsidRDefault="005B771D" w:rsidP="00CF5C91">
            <w:pPr>
              <w:rPr>
                <w:rFonts w:ascii="Arial" w:hAnsi="Arial" w:cs="Arial"/>
                <w:sz w:val="20"/>
                <w:lang w:val="en-US"/>
              </w:rPr>
            </w:pPr>
          </w:p>
          <w:p w:rsidR="00AE708F" w:rsidRDefault="00AE708F">
            <w:pPr>
              <w:ind w:left="-79"/>
              <w:rPr>
                <w:rFonts w:ascii="Arial" w:hAnsi="Arial"/>
                <w:sz w:val="16"/>
              </w:rPr>
            </w:pPr>
            <w:bookmarkStart w:id="0" w:name="_GoBack"/>
            <w:bookmarkEnd w:id="0"/>
          </w:p>
        </w:tc>
        <w:tc>
          <w:tcPr>
            <w:tcW w:w="3321" w:type="dxa"/>
            <w:vMerge/>
          </w:tcPr>
          <w:p w:rsidR="00AE708F" w:rsidRDefault="00AE708F">
            <w:pPr>
              <w:rPr>
                <w:rFonts w:ascii="font403" w:hAnsi="font403"/>
              </w:rPr>
            </w:pPr>
          </w:p>
        </w:tc>
      </w:tr>
    </w:tbl>
    <w:p w:rsidR="00970815" w:rsidRDefault="00970815" w:rsidP="00970815">
      <w:pPr>
        <w:pStyle w:val="Rubrik1"/>
        <w:jc w:val="center"/>
        <w:rPr>
          <w:lang w:val="en-US"/>
        </w:rPr>
      </w:pPr>
      <w:r>
        <w:rPr>
          <w:lang w:val="en-US"/>
        </w:rPr>
        <w:t xml:space="preserve">Response to </w:t>
      </w:r>
      <w:r w:rsidRPr="007B46AC">
        <w:rPr>
          <w:lang w:val="en-US"/>
        </w:rPr>
        <w:t>Liaison</w:t>
      </w:r>
      <w:r>
        <w:rPr>
          <w:lang w:val="en-US"/>
        </w:rPr>
        <w:t xml:space="preserve"> </w:t>
      </w:r>
      <w:r w:rsidRPr="007B46AC">
        <w:rPr>
          <w:lang w:val="en-US"/>
        </w:rPr>
        <w:t>statement</w:t>
      </w:r>
      <w:r>
        <w:rPr>
          <w:lang w:val="en-US"/>
        </w:rPr>
        <w:t xml:space="preserve"> </w:t>
      </w:r>
      <w:r w:rsidRPr="007B46AC">
        <w:rPr>
          <w:lang w:val="en-US"/>
        </w:rPr>
        <w:t>from</w:t>
      </w:r>
      <w:r>
        <w:rPr>
          <w:lang w:val="en-US"/>
        </w:rPr>
        <w:t xml:space="preserve"> </w:t>
      </w:r>
    </w:p>
    <w:p w:rsidR="00970815" w:rsidRDefault="00970815" w:rsidP="00187270">
      <w:pPr>
        <w:pStyle w:val="Rubrik1"/>
        <w:jc w:val="center"/>
        <w:rPr>
          <w:lang w:val="en-US"/>
        </w:rPr>
      </w:pPr>
      <w:r w:rsidRPr="007B46AC">
        <w:rPr>
          <w:lang w:val="en-US"/>
        </w:rPr>
        <w:t>Video Quality Experts Group (VQEG)</w:t>
      </w:r>
    </w:p>
    <w:p w:rsidR="005B771D" w:rsidRPr="005B771D" w:rsidRDefault="005B771D" w:rsidP="005B771D"/>
    <w:p w:rsidR="00970815" w:rsidRDefault="00970815" w:rsidP="00970815">
      <w:pPr>
        <w:jc w:val="both"/>
        <w:rPr>
          <w:lang w:val="en-US"/>
        </w:rPr>
      </w:pPr>
      <w:r w:rsidRPr="00970815">
        <w:rPr>
          <w:lang w:val="en-US"/>
        </w:rPr>
        <w:t>The COST Acti</w:t>
      </w:r>
      <w:r>
        <w:rPr>
          <w:lang w:val="en-US"/>
        </w:rPr>
        <w:t xml:space="preserve">on IC1003 (QUALINET) thanks </w:t>
      </w:r>
      <w:r w:rsidRPr="00970815">
        <w:rPr>
          <w:lang w:val="en-US"/>
        </w:rPr>
        <w:t xml:space="preserve">Video Quality Experts Group (VQEG) for its invitation for </w:t>
      </w:r>
      <w:r w:rsidR="005B771D">
        <w:rPr>
          <w:lang w:val="en-US"/>
        </w:rPr>
        <w:t xml:space="preserve">exploring avenues for </w:t>
      </w:r>
      <w:r>
        <w:rPr>
          <w:lang w:val="en-US"/>
        </w:rPr>
        <w:t xml:space="preserve">close </w:t>
      </w:r>
      <w:r w:rsidRPr="00970815">
        <w:rPr>
          <w:lang w:val="en-US"/>
        </w:rPr>
        <w:t>collaboration</w:t>
      </w:r>
      <w:r w:rsidR="005B771D">
        <w:rPr>
          <w:lang w:val="en-US"/>
        </w:rPr>
        <w:t>s</w:t>
      </w:r>
      <w:r w:rsidRPr="00970815">
        <w:rPr>
          <w:lang w:val="en-US"/>
        </w:rPr>
        <w:t xml:space="preserve">. </w:t>
      </w:r>
    </w:p>
    <w:p w:rsidR="005B771D" w:rsidRPr="00970815" w:rsidRDefault="005B771D" w:rsidP="00970815">
      <w:pPr>
        <w:jc w:val="both"/>
        <w:rPr>
          <w:lang w:val="en-US"/>
        </w:rPr>
      </w:pPr>
    </w:p>
    <w:p w:rsidR="005B771D" w:rsidRDefault="00970815" w:rsidP="00970815">
      <w:pPr>
        <w:jc w:val="both"/>
        <w:rPr>
          <w:lang w:val="en-US"/>
        </w:rPr>
      </w:pPr>
      <w:r w:rsidRPr="00970815">
        <w:rPr>
          <w:lang w:val="en-US"/>
        </w:rPr>
        <w:t xml:space="preserve">COST (European Cooperation in Science and Technology) is one of the longest-running European instruments supporting cooperation among scientists and researchers across Europe. COST recently approved the creation of a new Action IC1003 (QUALINET - European Network on Quality of Experience in Multimedia Systems and Services). Current members include around 60 organizations from 25 COST countries (Austria, Belgium, Croatia, Cyprus, Czech Republic, Denmark, Finland, Former Yugoslav Republic of Macedonia, France, Germany, Greece, Ireland, Israel, Italy, Malta, Norway, Poland, Portugal, Serbia, Slovak Republic, Slovenia, Spain, Sweden, Switzerland, and United Kingdom), soon to be extended by 6 non- COST countries (Australia, Canada, Montenegro, Japan, Singapore, and USA) QUALINET is organized in 5 Working Groups, whose activities are coordinated by a Management Committee composed of representatives from its participating countries. </w:t>
      </w:r>
    </w:p>
    <w:p w:rsidR="005B771D" w:rsidRDefault="005B771D" w:rsidP="00970815">
      <w:pPr>
        <w:jc w:val="both"/>
        <w:rPr>
          <w:lang w:val="en-US"/>
        </w:rPr>
      </w:pPr>
    </w:p>
    <w:p w:rsidR="00970815" w:rsidRDefault="00970815" w:rsidP="00970815">
      <w:pPr>
        <w:jc w:val="both"/>
        <w:rPr>
          <w:lang w:val="en-US"/>
        </w:rPr>
      </w:pPr>
      <w:r w:rsidRPr="00970815">
        <w:rPr>
          <w:lang w:val="en-US"/>
        </w:rPr>
        <w:t xml:space="preserve">The objectives of QUALINET can be summarized as follows: </w:t>
      </w:r>
    </w:p>
    <w:p w:rsidR="005B771D" w:rsidRPr="00970815" w:rsidRDefault="005B771D" w:rsidP="00970815">
      <w:pPr>
        <w:jc w:val="both"/>
        <w:rPr>
          <w:lang w:val="en-US"/>
        </w:rPr>
      </w:pPr>
    </w:p>
    <w:p w:rsidR="00970815" w:rsidRPr="00970815" w:rsidRDefault="00970815" w:rsidP="00970815">
      <w:pPr>
        <w:jc w:val="both"/>
        <w:rPr>
          <w:lang w:val="en-US"/>
        </w:rPr>
      </w:pPr>
      <w:r w:rsidRPr="00970815">
        <w:rPr>
          <w:lang w:val="en-US"/>
        </w:rPr>
        <w:t>•</w:t>
      </w:r>
      <w:r w:rsidRPr="00970815">
        <w:rPr>
          <w:lang w:val="en-US"/>
        </w:rPr>
        <w:tab/>
        <w:t>Coordination of multidisciplinary Quality of Experience (</w:t>
      </w:r>
      <w:proofErr w:type="spellStart"/>
      <w:r w:rsidRPr="00970815">
        <w:rPr>
          <w:lang w:val="en-US"/>
        </w:rPr>
        <w:t>QoE</w:t>
      </w:r>
      <w:proofErr w:type="spellEnd"/>
      <w:r w:rsidRPr="00970815">
        <w:rPr>
          <w:lang w:val="en-US"/>
        </w:rPr>
        <w:t>) research in Europe,</w:t>
      </w:r>
    </w:p>
    <w:p w:rsidR="00970815" w:rsidRPr="00970815" w:rsidRDefault="00970815" w:rsidP="00970815">
      <w:pPr>
        <w:jc w:val="both"/>
        <w:rPr>
          <w:lang w:val="en-US"/>
        </w:rPr>
      </w:pPr>
      <w:r w:rsidRPr="00970815">
        <w:rPr>
          <w:lang w:val="en-US"/>
        </w:rPr>
        <w:t>•</w:t>
      </w:r>
      <w:r w:rsidRPr="00970815">
        <w:rPr>
          <w:lang w:val="en-US"/>
        </w:rPr>
        <w:tab/>
        <w:t>Strengthening dissemination efforts through already established, and new initiatives,</w:t>
      </w:r>
    </w:p>
    <w:p w:rsidR="00970815" w:rsidRPr="00970815" w:rsidRDefault="00970815" w:rsidP="00970815">
      <w:pPr>
        <w:jc w:val="both"/>
        <w:rPr>
          <w:lang w:val="en-US"/>
        </w:rPr>
      </w:pPr>
      <w:r w:rsidRPr="00970815">
        <w:rPr>
          <w:lang w:val="en-US"/>
        </w:rPr>
        <w:t>•</w:t>
      </w:r>
      <w:r w:rsidRPr="00970815">
        <w:rPr>
          <w:lang w:val="en-US"/>
        </w:rPr>
        <w:tab/>
        <w:t>Strengthening interaction between academia and industry,</w:t>
      </w:r>
    </w:p>
    <w:p w:rsidR="00970815" w:rsidRPr="00970815" w:rsidRDefault="00970815" w:rsidP="00970815">
      <w:pPr>
        <w:jc w:val="both"/>
        <w:rPr>
          <w:lang w:val="en-US"/>
        </w:rPr>
      </w:pPr>
      <w:r w:rsidRPr="00970815">
        <w:rPr>
          <w:lang w:val="en-US"/>
        </w:rPr>
        <w:t>•</w:t>
      </w:r>
      <w:r w:rsidRPr="00970815">
        <w:rPr>
          <w:lang w:val="en-US"/>
        </w:rPr>
        <w:tab/>
        <w:t xml:space="preserve">Strengthening educational efforts in </w:t>
      </w:r>
      <w:proofErr w:type="spellStart"/>
      <w:r w:rsidRPr="00970815">
        <w:rPr>
          <w:lang w:val="en-US"/>
        </w:rPr>
        <w:t>QoE</w:t>
      </w:r>
      <w:proofErr w:type="spellEnd"/>
      <w:r w:rsidRPr="00970815">
        <w:rPr>
          <w:lang w:val="en-US"/>
        </w:rPr>
        <w:t>,</w:t>
      </w:r>
    </w:p>
    <w:p w:rsidR="00970815" w:rsidRPr="00970815" w:rsidRDefault="00970815" w:rsidP="00970815">
      <w:pPr>
        <w:jc w:val="both"/>
        <w:rPr>
          <w:lang w:val="en-US"/>
        </w:rPr>
      </w:pPr>
      <w:r w:rsidRPr="00970815">
        <w:rPr>
          <w:lang w:val="en-US"/>
        </w:rPr>
        <w:t>•</w:t>
      </w:r>
      <w:r w:rsidRPr="00970815">
        <w:rPr>
          <w:lang w:val="en-US"/>
        </w:rPr>
        <w:tab/>
        <w:t>Coordinated contribution to international standards (ISO, ITU-T, VQEG,…),</w:t>
      </w:r>
    </w:p>
    <w:p w:rsidR="00970815" w:rsidRPr="00970815" w:rsidRDefault="00970815" w:rsidP="00970815">
      <w:pPr>
        <w:jc w:val="both"/>
        <w:rPr>
          <w:lang w:val="en-US"/>
        </w:rPr>
      </w:pPr>
      <w:r w:rsidRPr="00970815">
        <w:rPr>
          <w:lang w:val="en-US"/>
        </w:rPr>
        <w:t>•</w:t>
      </w:r>
      <w:r w:rsidRPr="00970815">
        <w:rPr>
          <w:lang w:val="en-US"/>
        </w:rPr>
        <w:tab/>
        <w:t>Coordination between multimedia evaluation Laboratory Clusters at partner premises,</w:t>
      </w:r>
    </w:p>
    <w:p w:rsidR="00970815" w:rsidRDefault="00970815" w:rsidP="00970815">
      <w:pPr>
        <w:jc w:val="both"/>
        <w:rPr>
          <w:lang w:val="en-US"/>
        </w:rPr>
      </w:pPr>
      <w:r w:rsidRPr="00970815">
        <w:rPr>
          <w:lang w:val="en-US"/>
        </w:rPr>
        <w:t>•</w:t>
      </w:r>
      <w:r w:rsidRPr="00970815">
        <w:rPr>
          <w:lang w:val="en-US"/>
        </w:rPr>
        <w:tab/>
        <w:t xml:space="preserve">Study and initiation of </w:t>
      </w:r>
      <w:proofErr w:type="spellStart"/>
      <w:r w:rsidRPr="00970815">
        <w:rPr>
          <w:lang w:val="en-US"/>
        </w:rPr>
        <w:t>QoE</w:t>
      </w:r>
      <w:proofErr w:type="spellEnd"/>
      <w:r w:rsidRPr="00970815">
        <w:rPr>
          <w:lang w:val="en-US"/>
        </w:rPr>
        <w:t xml:space="preserve"> certification mechanisms for multimedia products </w:t>
      </w:r>
    </w:p>
    <w:p w:rsidR="00970815" w:rsidRPr="00970815" w:rsidRDefault="00970815" w:rsidP="00970815">
      <w:pPr>
        <w:ind w:firstLine="708"/>
        <w:jc w:val="both"/>
        <w:rPr>
          <w:lang w:val="en-US"/>
        </w:rPr>
      </w:pPr>
      <w:r w:rsidRPr="00970815">
        <w:rPr>
          <w:lang w:val="en-US"/>
        </w:rPr>
        <w:t>and services,</w:t>
      </w:r>
    </w:p>
    <w:p w:rsidR="00970815" w:rsidRDefault="00970815" w:rsidP="00970815">
      <w:pPr>
        <w:jc w:val="both"/>
        <w:rPr>
          <w:lang w:val="en-US"/>
        </w:rPr>
      </w:pPr>
      <w:r w:rsidRPr="00970815">
        <w:rPr>
          <w:lang w:val="en-US"/>
        </w:rPr>
        <w:t>•</w:t>
      </w:r>
      <w:r w:rsidRPr="00970815">
        <w:rPr>
          <w:lang w:val="en-US"/>
        </w:rPr>
        <w:tab/>
        <w:t xml:space="preserve">Creation of a sustainable QUALINET beyond its four-year period of funding by </w:t>
      </w:r>
    </w:p>
    <w:p w:rsidR="00970815" w:rsidRDefault="00970815" w:rsidP="00187270">
      <w:pPr>
        <w:ind w:firstLine="708"/>
        <w:jc w:val="both"/>
        <w:rPr>
          <w:lang w:val="en-US"/>
        </w:rPr>
      </w:pPr>
      <w:r>
        <w:rPr>
          <w:lang w:val="en-US"/>
        </w:rPr>
        <w:t>COST</w:t>
      </w:r>
      <w:r w:rsidRPr="00970815">
        <w:rPr>
          <w:lang w:val="en-US"/>
        </w:rPr>
        <w:t>.</w:t>
      </w:r>
    </w:p>
    <w:p w:rsidR="005B771D" w:rsidRDefault="005B771D" w:rsidP="00187270">
      <w:pPr>
        <w:ind w:firstLine="708"/>
        <w:jc w:val="both"/>
        <w:rPr>
          <w:lang w:val="en-US"/>
        </w:rPr>
      </w:pPr>
    </w:p>
    <w:p w:rsidR="00970815" w:rsidRDefault="00970815" w:rsidP="00970815">
      <w:pPr>
        <w:jc w:val="both"/>
        <w:rPr>
          <w:lang w:val="en-US"/>
        </w:rPr>
      </w:pPr>
      <w:r>
        <w:rPr>
          <w:lang w:val="en-US"/>
        </w:rPr>
        <w:t xml:space="preserve">Several members of QUALINET are active </w:t>
      </w:r>
      <w:r w:rsidR="005B771D">
        <w:rPr>
          <w:lang w:val="en-US"/>
        </w:rPr>
        <w:t>experts in</w:t>
      </w:r>
      <w:r>
        <w:rPr>
          <w:lang w:val="en-US"/>
        </w:rPr>
        <w:t xml:space="preserve"> VQEG</w:t>
      </w:r>
      <w:r w:rsidR="005B771D">
        <w:rPr>
          <w:lang w:val="en-US"/>
        </w:rPr>
        <w:t xml:space="preserve">, in a few cases play a leading role. </w:t>
      </w:r>
      <w:r>
        <w:rPr>
          <w:lang w:val="en-US"/>
        </w:rPr>
        <w:t xml:space="preserve"> </w:t>
      </w:r>
      <w:r w:rsidR="005B771D">
        <w:rPr>
          <w:lang w:val="en-US"/>
        </w:rPr>
        <w:t>S</w:t>
      </w:r>
      <w:r w:rsidR="00A64818">
        <w:rPr>
          <w:lang w:val="en-US"/>
        </w:rPr>
        <w:t>ince its inception, QUALINET has</w:t>
      </w:r>
      <w:r w:rsidR="005B771D">
        <w:rPr>
          <w:lang w:val="en-US"/>
        </w:rPr>
        <w:t xml:space="preserve"> envisioned establishment of a </w:t>
      </w:r>
      <w:r w:rsidR="00A64818">
        <w:rPr>
          <w:lang w:val="en-US"/>
        </w:rPr>
        <w:t>strong</w:t>
      </w:r>
      <w:r w:rsidR="005B771D">
        <w:rPr>
          <w:lang w:val="en-US"/>
        </w:rPr>
        <w:t xml:space="preserve"> collaboration with VQEG, and therefore</w:t>
      </w:r>
      <w:r>
        <w:rPr>
          <w:lang w:val="en-US"/>
        </w:rPr>
        <w:t xml:space="preserve"> welcomes </w:t>
      </w:r>
      <w:r w:rsidR="005B771D">
        <w:rPr>
          <w:lang w:val="en-US"/>
        </w:rPr>
        <w:t xml:space="preserve">any efforts </w:t>
      </w:r>
      <w:r w:rsidR="00A64818">
        <w:rPr>
          <w:lang w:val="en-US"/>
        </w:rPr>
        <w:t>contributing to achieving this goal</w:t>
      </w:r>
      <w:r>
        <w:rPr>
          <w:lang w:val="en-US"/>
        </w:rPr>
        <w:t xml:space="preserve">. </w:t>
      </w:r>
    </w:p>
    <w:p w:rsidR="00970815" w:rsidRPr="00970815" w:rsidRDefault="00970815" w:rsidP="00970815">
      <w:pPr>
        <w:jc w:val="both"/>
        <w:rPr>
          <w:lang w:val="en-US"/>
        </w:rPr>
      </w:pPr>
    </w:p>
    <w:p w:rsidR="00970815" w:rsidRDefault="00970815" w:rsidP="00970815">
      <w:pPr>
        <w:jc w:val="both"/>
        <w:rPr>
          <w:lang w:val="en-US"/>
        </w:rPr>
      </w:pPr>
      <w:r>
        <w:rPr>
          <w:lang w:val="en-US"/>
        </w:rPr>
        <w:t xml:space="preserve">As a first step, we suggest </w:t>
      </w:r>
      <w:r w:rsidR="00A64818">
        <w:rPr>
          <w:lang w:val="en-US"/>
        </w:rPr>
        <w:t>that</w:t>
      </w:r>
      <w:r>
        <w:rPr>
          <w:lang w:val="en-US"/>
        </w:rPr>
        <w:t xml:space="preserve"> a lis</w:t>
      </w:r>
      <w:r w:rsidR="00187270">
        <w:rPr>
          <w:lang w:val="en-US"/>
        </w:rPr>
        <w:t>t of areas of common interest</w:t>
      </w:r>
      <w:r w:rsidR="00A64818">
        <w:rPr>
          <w:lang w:val="en-US"/>
        </w:rPr>
        <w:t xml:space="preserve"> be produced</w:t>
      </w:r>
      <w:r w:rsidR="00187270">
        <w:rPr>
          <w:lang w:val="en-US"/>
        </w:rPr>
        <w:t xml:space="preserve">, together with their priorities and an initial set of </w:t>
      </w:r>
      <w:r w:rsidR="00A64818">
        <w:rPr>
          <w:lang w:val="en-US"/>
        </w:rPr>
        <w:t>individuals and organizations involved in both VQEG and QUALINET</w:t>
      </w:r>
      <w:r w:rsidR="00187270">
        <w:rPr>
          <w:lang w:val="en-US"/>
        </w:rPr>
        <w:t>. T</w:t>
      </w:r>
      <w:r w:rsidRPr="00970815">
        <w:rPr>
          <w:lang w:val="en-US"/>
        </w:rPr>
        <w:t xml:space="preserve">he areas that QUALINET suggests as </w:t>
      </w:r>
      <w:r w:rsidR="00A64818">
        <w:rPr>
          <w:lang w:val="en-US"/>
        </w:rPr>
        <w:t xml:space="preserve">particularly promising </w:t>
      </w:r>
      <w:r w:rsidR="00187270">
        <w:rPr>
          <w:lang w:val="en-US"/>
        </w:rPr>
        <w:t>are</w:t>
      </w:r>
      <w:r w:rsidRPr="00970815">
        <w:rPr>
          <w:lang w:val="en-US"/>
        </w:rPr>
        <w:t>:</w:t>
      </w:r>
    </w:p>
    <w:p w:rsidR="00A64818" w:rsidRPr="00970815" w:rsidRDefault="00A64818" w:rsidP="00970815">
      <w:pPr>
        <w:jc w:val="both"/>
        <w:rPr>
          <w:lang w:val="en-US"/>
        </w:rPr>
      </w:pPr>
    </w:p>
    <w:p w:rsidR="00970815" w:rsidRPr="00970815" w:rsidRDefault="00970815" w:rsidP="00187270">
      <w:pPr>
        <w:numPr>
          <w:ilvl w:val="0"/>
          <w:numId w:val="19"/>
        </w:numPr>
        <w:jc w:val="both"/>
        <w:rPr>
          <w:lang w:val="en-US"/>
        </w:rPr>
      </w:pPr>
      <w:r w:rsidRPr="00970815">
        <w:rPr>
          <w:lang w:val="en-US"/>
        </w:rPr>
        <w:t>Sharing open source video sequences</w:t>
      </w:r>
    </w:p>
    <w:p w:rsidR="00970815" w:rsidRPr="00970815" w:rsidRDefault="00970815" w:rsidP="00187270">
      <w:pPr>
        <w:numPr>
          <w:ilvl w:val="0"/>
          <w:numId w:val="19"/>
        </w:numPr>
        <w:jc w:val="both"/>
        <w:rPr>
          <w:lang w:val="en-US"/>
        </w:rPr>
      </w:pPr>
      <w:r w:rsidRPr="00970815">
        <w:rPr>
          <w:lang w:val="en-US"/>
        </w:rPr>
        <w:t xml:space="preserve">Sharing open source subjective </w:t>
      </w:r>
      <w:r w:rsidR="00A64818">
        <w:rPr>
          <w:lang w:val="en-US"/>
        </w:rPr>
        <w:t xml:space="preserve">assessment </w:t>
      </w:r>
      <w:r w:rsidRPr="00970815">
        <w:rPr>
          <w:lang w:val="en-US"/>
        </w:rPr>
        <w:t>databases</w:t>
      </w:r>
    </w:p>
    <w:p w:rsidR="00970815" w:rsidRPr="00970815" w:rsidRDefault="00A64818" w:rsidP="00187270">
      <w:pPr>
        <w:numPr>
          <w:ilvl w:val="0"/>
          <w:numId w:val="19"/>
        </w:numPr>
        <w:jc w:val="both"/>
        <w:rPr>
          <w:lang w:val="en-US"/>
        </w:rPr>
      </w:pPr>
      <w:r>
        <w:rPr>
          <w:lang w:val="en-US"/>
        </w:rPr>
        <w:t xml:space="preserve">Coordination between </w:t>
      </w:r>
      <w:r w:rsidR="00187270">
        <w:rPr>
          <w:lang w:val="en-US"/>
        </w:rPr>
        <w:t>laboratory resources to conduct</w:t>
      </w:r>
      <w:r w:rsidR="00970815" w:rsidRPr="00970815">
        <w:rPr>
          <w:lang w:val="en-US"/>
        </w:rPr>
        <w:t xml:space="preserve"> subjective experiments </w:t>
      </w:r>
      <w:r w:rsidR="00187270">
        <w:rPr>
          <w:lang w:val="en-US"/>
        </w:rPr>
        <w:t>in activities of common interest</w:t>
      </w:r>
    </w:p>
    <w:p w:rsidR="00187270" w:rsidRDefault="00187270" w:rsidP="00187270">
      <w:pPr>
        <w:numPr>
          <w:ilvl w:val="0"/>
          <w:numId w:val="19"/>
        </w:numPr>
        <w:jc w:val="both"/>
        <w:rPr>
          <w:lang w:val="en-US"/>
        </w:rPr>
      </w:pPr>
      <w:r>
        <w:rPr>
          <w:lang w:val="en-US"/>
        </w:rPr>
        <w:t xml:space="preserve">Sharing of </w:t>
      </w:r>
      <w:r w:rsidR="00A64818">
        <w:rPr>
          <w:lang w:val="en-US"/>
        </w:rPr>
        <w:t xml:space="preserve">relevant </w:t>
      </w:r>
      <w:r>
        <w:rPr>
          <w:lang w:val="en-US"/>
        </w:rPr>
        <w:t xml:space="preserve">documents </w:t>
      </w:r>
      <w:r w:rsidR="00A64818">
        <w:rPr>
          <w:lang w:val="en-US"/>
        </w:rPr>
        <w:t>in topics of</w:t>
      </w:r>
      <w:r>
        <w:rPr>
          <w:lang w:val="en-US"/>
        </w:rPr>
        <w:t xml:space="preserve"> common interest</w:t>
      </w:r>
    </w:p>
    <w:p w:rsidR="005B771D" w:rsidRDefault="00187270" w:rsidP="005B771D">
      <w:pPr>
        <w:numPr>
          <w:ilvl w:val="0"/>
          <w:numId w:val="19"/>
        </w:numPr>
        <w:jc w:val="both"/>
        <w:rPr>
          <w:lang w:val="en-US"/>
        </w:rPr>
      </w:pPr>
      <w:r>
        <w:rPr>
          <w:lang w:val="en-US"/>
        </w:rPr>
        <w:t>Invitation to respective meetings and events</w:t>
      </w:r>
    </w:p>
    <w:p w:rsidR="00A64818" w:rsidRDefault="00A64818" w:rsidP="005B771D">
      <w:pPr>
        <w:numPr>
          <w:ilvl w:val="0"/>
          <w:numId w:val="19"/>
        </w:numPr>
        <w:jc w:val="both"/>
        <w:rPr>
          <w:lang w:val="en-US"/>
        </w:rPr>
      </w:pPr>
      <w:r>
        <w:rPr>
          <w:lang w:val="en-US"/>
        </w:rPr>
        <w:t>Organization of joint meetings and events</w:t>
      </w:r>
    </w:p>
    <w:p w:rsidR="005B771D" w:rsidRDefault="005B771D" w:rsidP="005B771D">
      <w:pPr>
        <w:jc w:val="both"/>
        <w:rPr>
          <w:lang w:val="en-US"/>
        </w:rPr>
      </w:pPr>
    </w:p>
    <w:p w:rsidR="005B771D" w:rsidRDefault="005B771D" w:rsidP="005B771D">
      <w:pPr>
        <w:jc w:val="both"/>
        <w:rPr>
          <w:lang w:val="en-US"/>
        </w:rPr>
      </w:pPr>
      <w:r>
        <w:rPr>
          <w:lang w:val="en-US"/>
        </w:rPr>
        <w:t>Suggestions to further extend the abov</w:t>
      </w:r>
      <w:r w:rsidR="00A64818">
        <w:rPr>
          <w:lang w:val="en-US"/>
        </w:rPr>
        <w:t>e list and more precisely defining</w:t>
      </w:r>
      <w:r>
        <w:rPr>
          <w:lang w:val="en-US"/>
        </w:rPr>
        <w:t xml:space="preserve"> their </w:t>
      </w:r>
      <w:r w:rsidR="00A64818">
        <w:rPr>
          <w:lang w:val="en-US"/>
        </w:rPr>
        <w:t>implementation details</w:t>
      </w:r>
      <w:r>
        <w:rPr>
          <w:lang w:val="en-US"/>
        </w:rPr>
        <w:t xml:space="preserve"> are more than welcome.</w:t>
      </w:r>
    </w:p>
    <w:p w:rsidR="00A64818" w:rsidRPr="005B771D" w:rsidRDefault="00A64818" w:rsidP="005B771D">
      <w:pPr>
        <w:jc w:val="both"/>
        <w:rPr>
          <w:lang w:val="en-US"/>
        </w:rPr>
      </w:pPr>
    </w:p>
    <w:p w:rsidR="00525379" w:rsidRDefault="00187270" w:rsidP="00525379">
      <w:pPr>
        <w:jc w:val="both"/>
        <w:rPr>
          <w:lang w:val="en-US"/>
        </w:rPr>
      </w:pPr>
      <w:r>
        <w:rPr>
          <w:lang w:val="en-US"/>
        </w:rPr>
        <w:t xml:space="preserve">QUALINET </w:t>
      </w:r>
      <w:r w:rsidR="005B771D">
        <w:rPr>
          <w:lang w:val="en-US"/>
        </w:rPr>
        <w:t>would like to invite</w:t>
      </w:r>
      <w:r>
        <w:rPr>
          <w:lang w:val="en-US"/>
        </w:rPr>
        <w:t xml:space="preserve"> VQEG </w:t>
      </w:r>
      <w:r w:rsidR="00A64818">
        <w:rPr>
          <w:lang w:val="en-US"/>
        </w:rPr>
        <w:t>members</w:t>
      </w:r>
      <w:r>
        <w:rPr>
          <w:lang w:val="en-US"/>
        </w:rPr>
        <w:t xml:space="preserve"> </w:t>
      </w:r>
      <w:r w:rsidR="00A64818">
        <w:rPr>
          <w:lang w:val="en-US"/>
        </w:rPr>
        <w:t xml:space="preserve">interested </w:t>
      </w:r>
      <w:r w:rsidR="005B771D">
        <w:rPr>
          <w:lang w:val="en-US"/>
        </w:rPr>
        <w:t>in such collaborations to</w:t>
      </w:r>
      <w:r>
        <w:rPr>
          <w:lang w:val="en-US"/>
        </w:rPr>
        <w:t xml:space="preserve"> attend its upcoming meeting on Sept</w:t>
      </w:r>
      <w:r w:rsidR="005B771D">
        <w:rPr>
          <w:lang w:val="en-US"/>
        </w:rPr>
        <w:t>emb</w:t>
      </w:r>
      <w:r w:rsidR="00A64818">
        <w:rPr>
          <w:lang w:val="en-US"/>
        </w:rPr>
        <w:t xml:space="preserve">er 5-6, 2011 in Brussels, as </w:t>
      </w:r>
      <w:r w:rsidR="005B771D">
        <w:rPr>
          <w:lang w:val="en-US"/>
        </w:rPr>
        <w:t xml:space="preserve">invited experts, to further implement some of the above identified </w:t>
      </w:r>
      <w:r w:rsidR="00A64818">
        <w:rPr>
          <w:lang w:val="en-US"/>
        </w:rPr>
        <w:t>areas</w:t>
      </w:r>
      <w:r w:rsidR="005B771D">
        <w:rPr>
          <w:lang w:val="en-US"/>
        </w:rPr>
        <w:t xml:space="preserve">, and would be interested in having your opinion about attendance of QUALINET members </w:t>
      </w:r>
      <w:r w:rsidR="00A64818">
        <w:rPr>
          <w:lang w:val="en-US"/>
        </w:rPr>
        <w:t xml:space="preserve">interested in </w:t>
      </w:r>
      <w:r w:rsidR="005B771D">
        <w:rPr>
          <w:lang w:val="en-US"/>
        </w:rPr>
        <w:t xml:space="preserve">attending an upcoming VQEG meeting for the same purpose. We are also </w:t>
      </w:r>
      <w:r w:rsidR="00A64818">
        <w:rPr>
          <w:lang w:val="en-US"/>
        </w:rPr>
        <w:t>interested in exploring possibilities for organization of</w:t>
      </w:r>
      <w:r w:rsidR="005B771D">
        <w:rPr>
          <w:lang w:val="en-US"/>
        </w:rPr>
        <w:t xml:space="preserve"> joint meetings </w:t>
      </w:r>
      <w:r w:rsidR="00A64818">
        <w:rPr>
          <w:lang w:val="en-US"/>
        </w:rPr>
        <w:t xml:space="preserve">and events </w:t>
      </w:r>
      <w:r w:rsidR="005B771D">
        <w:rPr>
          <w:lang w:val="en-US"/>
        </w:rPr>
        <w:t>between VQEG and QUALINET.</w:t>
      </w:r>
    </w:p>
    <w:p w:rsidR="00A64818" w:rsidRDefault="00A64818" w:rsidP="00525379">
      <w:pPr>
        <w:jc w:val="both"/>
        <w:rPr>
          <w:lang w:val="en-US"/>
        </w:rPr>
      </w:pPr>
    </w:p>
    <w:p w:rsidR="00A64818" w:rsidRDefault="00EA571C" w:rsidP="00525379">
      <w:pPr>
        <w:jc w:val="both"/>
        <w:rPr>
          <w:lang w:val="en-US"/>
        </w:rPr>
      </w:pPr>
      <w:r>
        <w:rPr>
          <w:lang w:val="en-US"/>
        </w:rPr>
        <w:t xml:space="preserve">In order to </w:t>
      </w:r>
      <w:r w:rsidR="00A64818">
        <w:rPr>
          <w:lang w:val="en-US"/>
        </w:rPr>
        <w:t xml:space="preserve">ensure </w:t>
      </w:r>
      <w:r>
        <w:rPr>
          <w:lang w:val="en-US"/>
        </w:rPr>
        <w:t>an efficient liaison between us</w:t>
      </w:r>
      <w:r w:rsidR="00A64818">
        <w:rPr>
          <w:lang w:val="en-US"/>
        </w:rPr>
        <w:t xml:space="preserve">, QUALINET would like to nominate Prof. Fernando Pereira (IST, Portugal) and Prof. Andrew Perkis (Action Vice Chair) as liaison representatives on QUALINET side, and will be interested in knowing the names and affiliations of similar liaison representatives on VQEG side. </w:t>
      </w:r>
    </w:p>
    <w:p w:rsidR="005B771D" w:rsidRDefault="005B771D" w:rsidP="00525379">
      <w:pPr>
        <w:jc w:val="both"/>
        <w:rPr>
          <w:lang w:val="en-US"/>
        </w:rPr>
      </w:pPr>
    </w:p>
    <w:p w:rsidR="005B771D" w:rsidRDefault="005B771D" w:rsidP="00525379">
      <w:pPr>
        <w:jc w:val="both"/>
        <w:rPr>
          <w:lang w:val="en-US"/>
        </w:rPr>
      </w:pPr>
    </w:p>
    <w:p w:rsidR="00525379" w:rsidRDefault="00525379" w:rsidP="00525379">
      <w:pPr>
        <w:jc w:val="both"/>
        <w:rPr>
          <w:lang w:val="en-US"/>
        </w:rPr>
      </w:pPr>
      <w:r>
        <w:rPr>
          <w:lang w:val="en-US"/>
        </w:rPr>
        <w:t xml:space="preserve">Attached: COST IC1003 (QUALINET) Memorandum of Understanding  </w:t>
      </w:r>
    </w:p>
    <w:p w:rsidR="00A64818" w:rsidRDefault="00A64818" w:rsidP="00525379">
      <w:pPr>
        <w:jc w:val="both"/>
        <w:rPr>
          <w:lang w:val="en-US"/>
        </w:rPr>
      </w:pPr>
    </w:p>
    <w:p w:rsidR="00A64818" w:rsidRDefault="00A64818" w:rsidP="00525379">
      <w:pPr>
        <w:jc w:val="both"/>
        <w:rPr>
          <w:lang w:val="en-US"/>
        </w:rPr>
      </w:pPr>
      <w:r>
        <w:rPr>
          <w:lang w:val="en-US"/>
        </w:rPr>
        <w:t>QUALINET Liaison Representatives to VQEG:</w:t>
      </w:r>
    </w:p>
    <w:p w:rsidR="00A64818" w:rsidRDefault="00A64818" w:rsidP="00525379">
      <w:pPr>
        <w:jc w:val="both"/>
      </w:pPr>
    </w:p>
    <w:p w:rsidR="00EA571C" w:rsidRPr="003D0AE8" w:rsidRDefault="00EA571C" w:rsidP="00EA571C">
      <w:pPr>
        <w:pStyle w:val="Brdtext"/>
        <w:rPr>
          <w:rFonts w:eastAsia="FX リョービ 本明朝-L"/>
          <w:lang w:val="en-GB" w:eastAsia="ja-JP"/>
        </w:rPr>
      </w:pPr>
      <w:r>
        <w:rPr>
          <w:rFonts w:eastAsia="FX リョービ 本明朝-L"/>
          <w:lang w:val="en-GB" w:eastAsia="ja-JP"/>
        </w:rPr>
        <w:t>Prof. Fernando Pereira</w:t>
      </w:r>
    </w:p>
    <w:p w:rsidR="00EA571C" w:rsidRPr="003D0AE8" w:rsidRDefault="00EA571C" w:rsidP="00EA571C">
      <w:pPr>
        <w:pStyle w:val="Brdtext"/>
        <w:rPr>
          <w:rFonts w:eastAsia="FX リョービ 本明朝-L"/>
          <w:lang w:val="en-GB" w:eastAsia="ja-JP"/>
        </w:rPr>
      </w:pPr>
      <w:r w:rsidRPr="003D0AE8">
        <w:rPr>
          <w:rFonts w:eastAsia="FX リョービ 本明朝-L"/>
          <w:lang w:val="en-GB" w:eastAsia="ja-JP"/>
        </w:rPr>
        <w:t xml:space="preserve">Email: </w:t>
      </w:r>
      <w:r>
        <w:rPr>
          <w:rFonts w:eastAsia="FX リョービ 本明朝-L"/>
          <w:lang w:val="en-GB" w:eastAsia="ja-JP"/>
        </w:rPr>
        <w:t>fp@lx.it.pt</w:t>
      </w:r>
    </w:p>
    <w:p w:rsidR="00EA571C" w:rsidRPr="00861DC6" w:rsidRDefault="00EA571C" w:rsidP="00EA571C">
      <w:pPr>
        <w:pStyle w:val="Brdtext"/>
        <w:rPr>
          <w:rFonts w:eastAsia="FX リョービ 本明朝-L"/>
          <w:lang w:val="en-GB" w:eastAsia="ja-JP"/>
        </w:rPr>
      </w:pPr>
      <w:r w:rsidRPr="003D0AE8">
        <w:rPr>
          <w:rFonts w:eastAsia="FX リョービ 本明朝-L"/>
          <w:lang w:val="en-GB" w:eastAsia="ja-JP"/>
        </w:rPr>
        <w:t xml:space="preserve">Address: </w:t>
      </w:r>
      <w:proofErr w:type="spellStart"/>
      <w:r w:rsidRPr="00861DC6">
        <w:rPr>
          <w:rFonts w:eastAsia="FX リョービ 本明朝-L"/>
          <w:lang w:val="en-GB" w:eastAsia="ja-JP"/>
        </w:rPr>
        <w:t>Instituto</w:t>
      </w:r>
      <w:proofErr w:type="spellEnd"/>
      <w:r w:rsidRPr="00861DC6">
        <w:rPr>
          <w:rFonts w:eastAsia="FX リョービ 本明朝-L"/>
          <w:lang w:val="en-GB" w:eastAsia="ja-JP"/>
        </w:rPr>
        <w:t xml:space="preserve"> Superior </w:t>
      </w:r>
      <w:proofErr w:type="spellStart"/>
      <w:r w:rsidRPr="00861DC6">
        <w:rPr>
          <w:rFonts w:eastAsia="FX リョービ 本明朝-L"/>
          <w:lang w:val="en-GB" w:eastAsia="ja-JP"/>
        </w:rPr>
        <w:t>Técnico</w:t>
      </w:r>
      <w:proofErr w:type="spellEnd"/>
      <w:r w:rsidRPr="00861DC6">
        <w:rPr>
          <w:rFonts w:eastAsia="FX リョービ 本明朝-L"/>
          <w:lang w:val="en-GB" w:eastAsia="ja-JP"/>
        </w:rPr>
        <w:t xml:space="preserve"> - </w:t>
      </w:r>
      <w:proofErr w:type="spellStart"/>
      <w:r w:rsidRPr="00861DC6">
        <w:rPr>
          <w:rFonts w:eastAsia="FX リョービ 本明朝-L"/>
          <w:lang w:val="en-GB" w:eastAsia="ja-JP"/>
        </w:rPr>
        <w:t>Instituto</w:t>
      </w:r>
      <w:proofErr w:type="spellEnd"/>
      <w:r w:rsidRPr="00861DC6">
        <w:rPr>
          <w:rFonts w:eastAsia="FX リョービ 本明朝-L"/>
          <w:lang w:val="en-GB" w:eastAsia="ja-JP"/>
        </w:rPr>
        <w:t xml:space="preserve"> de </w:t>
      </w:r>
      <w:proofErr w:type="spellStart"/>
      <w:r w:rsidRPr="00861DC6">
        <w:rPr>
          <w:rFonts w:eastAsia="FX リョービ 本明朝-L"/>
          <w:lang w:val="en-GB" w:eastAsia="ja-JP"/>
        </w:rPr>
        <w:t>Telecomunicações</w:t>
      </w:r>
      <w:proofErr w:type="spellEnd"/>
    </w:p>
    <w:p w:rsidR="00EA571C" w:rsidRDefault="00EA571C" w:rsidP="00EA571C">
      <w:pPr>
        <w:pStyle w:val="Brdtext"/>
        <w:rPr>
          <w:rFonts w:eastAsia="FX リョービ 本明朝-L"/>
          <w:lang w:val="en-GB" w:eastAsia="ja-JP"/>
        </w:rPr>
      </w:pPr>
      <w:r>
        <w:rPr>
          <w:rFonts w:eastAsia="FX リョービ 本明朝-L"/>
          <w:lang w:val="en-GB" w:eastAsia="ja-JP"/>
        </w:rPr>
        <w:t xml:space="preserve">Av. </w:t>
      </w:r>
      <w:proofErr w:type="spellStart"/>
      <w:r>
        <w:rPr>
          <w:rFonts w:eastAsia="FX リョービ 本明朝-L"/>
          <w:lang w:val="en-GB" w:eastAsia="ja-JP"/>
        </w:rPr>
        <w:t>Rovisco</w:t>
      </w:r>
      <w:proofErr w:type="spellEnd"/>
      <w:r>
        <w:rPr>
          <w:rFonts w:eastAsia="FX リョービ 本明朝-L"/>
          <w:lang w:val="en-GB" w:eastAsia="ja-JP"/>
        </w:rPr>
        <w:t xml:space="preserve"> </w:t>
      </w:r>
      <w:proofErr w:type="spellStart"/>
      <w:r>
        <w:rPr>
          <w:rFonts w:eastAsia="FX リョービ 本明朝-L"/>
          <w:lang w:val="en-GB" w:eastAsia="ja-JP"/>
        </w:rPr>
        <w:t>Pais</w:t>
      </w:r>
      <w:proofErr w:type="spellEnd"/>
    </w:p>
    <w:p w:rsidR="00EA571C" w:rsidRDefault="00EA571C" w:rsidP="00EA571C">
      <w:pPr>
        <w:pStyle w:val="Brdtext"/>
        <w:rPr>
          <w:rFonts w:eastAsia="FX リョービ 本明朝-L"/>
          <w:lang w:val="en-GB" w:eastAsia="ja-JP"/>
        </w:rPr>
      </w:pPr>
      <w:r>
        <w:rPr>
          <w:rFonts w:eastAsia="FX リョービ 本明朝-L"/>
          <w:lang w:val="en-GB" w:eastAsia="ja-JP"/>
        </w:rPr>
        <w:t xml:space="preserve">1049-001 </w:t>
      </w:r>
      <w:proofErr w:type="spellStart"/>
      <w:r>
        <w:rPr>
          <w:rFonts w:eastAsia="FX リョービ 本明朝-L"/>
          <w:lang w:val="en-GB" w:eastAsia="ja-JP"/>
        </w:rPr>
        <w:t>Lisboa</w:t>
      </w:r>
      <w:proofErr w:type="spellEnd"/>
    </w:p>
    <w:p w:rsidR="00EA571C" w:rsidRPr="003D0AE8" w:rsidRDefault="00EA571C" w:rsidP="00EA571C">
      <w:pPr>
        <w:pStyle w:val="Brdtext"/>
        <w:rPr>
          <w:rFonts w:eastAsia="FX リョービ 本明朝-L"/>
          <w:lang w:val="en-GB" w:eastAsia="ja-JP"/>
        </w:rPr>
      </w:pPr>
      <w:r w:rsidRPr="00861DC6">
        <w:rPr>
          <w:rFonts w:eastAsia="FX リョービ 本明朝-L"/>
          <w:lang w:val="en-GB" w:eastAsia="ja-JP"/>
        </w:rPr>
        <w:t>PORTUGAL</w:t>
      </w:r>
    </w:p>
    <w:p w:rsidR="00EA571C" w:rsidRPr="003D0AE8" w:rsidRDefault="00EA571C" w:rsidP="00EA571C">
      <w:pPr>
        <w:pStyle w:val="Brdtext"/>
        <w:rPr>
          <w:rFonts w:eastAsia="FX リョービ 本明朝-L"/>
          <w:lang w:val="en-GB" w:eastAsia="ja-JP"/>
        </w:rPr>
      </w:pPr>
      <w:r w:rsidRPr="003D0AE8">
        <w:rPr>
          <w:rFonts w:eastAsia="FX リョービ 本明朝-L"/>
          <w:lang w:val="en-GB" w:eastAsia="ja-JP"/>
        </w:rPr>
        <w:t xml:space="preserve">Tel: </w:t>
      </w:r>
      <w:r w:rsidRPr="00861DC6">
        <w:rPr>
          <w:rFonts w:eastAsia="FX リョービ 本明朝-L"/>
          <w:lang w:val="en-GB" w:eastAsia="ja-JP"/>
        </w:rPr>
        <w:t xml:space="preserve">+ 351 21 8418460  </w:t>
      </w:r>
    </w:p>
    <w:p w:rsidR="00EA571C" w:rsidRDefault="00EA571C" w:rsidP="00EA571C">
      <w:pPr>
        <w:pStyle w:val="Brdtext"/>
        <w:rPr>
          <w:rFonts w:eastAsia="FX リョービ 本明朝-L"/>
          <w:lang w:val="en-GB" w:eastAsia="ja-JP"/>
        </w:rPr>
      </w:pPr>
      <w:r w:rsidRPr="003D0AE8">
        <w:rPr>
          <w:rFonts w:eastAsia="FX リョービ 本明朝-L"/>
          <w:lang w:val="en-GB" w:eastAsia="ja-JP"/>
        </w:rPr>
        <w:t xml:space="preserve">Fax: </w:t>
      </w:r>
      <w:r w:rsidRPr="00861DC6">
        <w:rPr>
          <w:rFonts w:eastAsia="FX リョービ 本明朝-L"/>
          <w:lang w:val="en-GB" w:eastAsia="ja-JP"/>
        </w:rPr>
        <w:t>+ 351 21 8418472</w:t>
      </w:r>
    </w:p>
    <w:p w:rsidR="00EA571C" w:rsidRDefault="00EA571C" w:rsidP="00EA571C">
      <w:pPr>
        <w:pStyle w:val="Brdtext"/>
        <w:rPr>
          <w:rFonts w:eastAsia="FX リョービ 本明朝-L"/>
          <w:lang w:val="en-GB" w:eastAsia="ja-JP"/>
        </w:rPr>
      </w:pPr>
    </w:p>
    <w:p w:rsidR="00EA571C" w:rsidRDefault="00EA571C" w:rsidP="00EA571C">
      <w:pPr>
        <w:pStyle w:val="Brdtext"/>
        <w:rPr>
          <w:rFonts w:eastAsia="FX リョービ 本明朝-L"/>
          <w:lang w:val="en-GB" w:eastAsia="ja-JP"/>
        </w:rPr>
      </w:pPr>
      <w:r>
        <w:rPr>
          <w:rFonts w:eastAsia="FX リョービ 本明朝-L"/>
          <w:lang w:val="en-GB" w:eastAsia="ja-JP"/>
        </w:rPr>
        <w:t>Prof. Andrew Perkis</w:t>
      </w:r>
    </w:p>
    <w:p w:rsidR="00EA571C" w:rsidRDefault="00EA571C" w:rsidP="00EA571C">
      <w:pPr>
        <w:pStyle w:val="Brdtext"/>
        <w:rPr>
          <w:rFonts w:eastAsia="FX リョービ 本明朝-L"/>
          <w:lang w:val="en-GB" w:eastAsia="ja-JP"/>
        </w:rPr>
      </w:pPr>
      <w:r>
        <w:rPr>
          <w:rFonts w:eastAsia="FX リョービ 本明朝-L"/>
          <w:lang w:val="en-GB" w:eastAsia="ja-JP"/>
        </w:rPr>
        <w:t>Email: andrew@iet.ntnu.no</w:t>
      </w:r>
    </w:p>
    <w:p w:rsidR="00EA571C" w:rsidRPr="00861DC6" w:rsidRDefault="00EA571C" w:rsidP="00EA571C">
      <w:pPr>
        <w:pStyle w:val="Brdtext"/>
        <w:rPr>
          <w:rFonts w:eastAsia="FX リョービ 本明朝-L"/>
          <w:lang w:val="en-GB" w:eastAsia="ja-JP"/>
        </w:rPr>
      </w:pPr>
      <w:r>
        <w:rPr>
          <w:rFonts w:eastAsia="FX リョービ 本明朝-L"/>
          <w:lang w:val="en-GB" w:eastAsia="ja-JP"/>
        </w:rPr>
        <w:t xml:space="preserve">Address: </w:t>
      </w:r>
      <w:r w:rsidRPr="00861DC6">
        <w:rPr>
          <w:rFonts w:eastAsia="FX リョービ 本明朝-L"/>
          <w:lang w:val="en-GB" w:eastAsia="ja-JP"/>
        </w:rPr>
        <w:t>Norwegian University of Science and Technology</w:t>
      </w:r>
    </w:p>
    <w:p w:rsidR="00EA571C" w:rsidRPr="00861DC6" w:rsidRDefault="00EA571C" w:rsidP="00EA571C">
      <w:pPr>
        <w:pStyle w:val="Brdtext"/>
        <w:rPr>
          <w:rFonts w:eastAsia="FX リョービ 本明朝-L"/>
          <w:lang w:val="en-GB" w:eastAsia="ja-JP"/>
        </w:rPr>
      </w:pPr>
      <w:r w:rsidRPr="00861DC6">
        <w:rPr>
          <w:rFonts w:eastAsia="FX リョービ 本明朝-L"/>
          <w:lang w:val="en-GB" w:eastAsia="ja-JP"/>
        </w:rPr>
        <w:t>"Centre for Quantifiable Quality of</w:t>
      </w:r>
    </w:p>
    <w:p w:rsidR="00EA571C" w:rsidRPr="00861DC6" w:rsidRDefault="00EA571C" w:rsidP="00EA571C">
      <w:pPr>
        <w:pStyle w:val="Brdtext"/>
        <w:rPr>
          <w:rFonts w:eastAsia="FX リョービ 本明朝-L"/>
          <w:lang w:val="en-GB" w:eastAsia="ja-JP"/>
        </w:rPr>
      </w:pPr>
      <w:r w:rsidRPr="00861DC6">
        <w:rPr>
          <w:rFonts w:eastAsia="FX リョービ 本明朝-L"/>
          <w:lang w:val="en-GB" w:eastAsia="ja-JP"/>
        </w:rPr>
        <w:t>Service in Communication Systems.</w:t>
      </w:r>
    </w:p>
    <w:p w:rsidR="00EA571C" w:rsidRPr="00861DC6" w:rsidRDefault="00EA571C" w:rsidP="00EA571C">
      <w:pPr>
        <w:pStyle w:val="Brdtext"/>
        <w:rPr>
          <w:rFonts w:eastAsia="FX リョービ 本明朝-L"/>
          <w:lang w:val="en-GB" w:eastAsia="ja-JP"/>
        </w:rPr>
      </w:pPr>
      <w:r w:rsidRPr="00861DC6">
        <w:rPr>
          <w:rFonts w:eastAsia="FX リョービ 本明朝-L"/>
          <w:lang w:val="en-GB" w:eastAsia="ja-JP"/>
        </w:rPr>
        <w:t>Centre of Excellence"</w:t>
      </w:r>
    </w:p>
    <w:p w:rsidR="00EA571C" w:rsidRPr="00861DC6" w:rsidRDefault="00EA571C" w:rsidP="00EA571C">
      <w:pPr>
        <w:pStyle w:val="Brdtext"/>
        <w:rPr>
          <w:rFonts w:eastAsia="FX リョービ 本明朝-L"/>
          <w:lang w:val="en-GB" w:eastAsia="ja-JP"/>
        </w:rPr>
      </w:pPr>
      <w:r w:rsidRPr="00861DC6">
        <w:rPr>
          <w:rFonts w:eastAsia="FX リョービ 本明朝-L"/>
          <w:lang w:val="en-GB" w:eastAsia="ja-JP"/>
        </w:rPr>
        <w:t xml:space="preserve">O.S. </w:t>
      </w:r>
      <w:proofErr w:type="spellStart"/>
      <w:r w:rsidRPr="00861DC6">
        <w:rPr>
          <w:rFonts w:eastAsia="FX リョービ 本明朝-L"/>
          <w:lang w:val="en-GB" w:eastAsia="ja-JP"/>
        </w:rPr>
        <w:t>Bragstads</w:t>
      </w:r>
      <w:proofErr w:type="spellEnd"/>
      <w:r w:rsidRPr="00861DC6">
        <w:rPr>
          <w:rFonts w:eastAsia="FX リョービ 本明朝-L"/>
          <w:lang w:val="en-GB" w:eastAsia="ja-JP"/>
        </w:rPr>
        <w:t xml:space="preserve"> </w:t>
      </w:r>
      <w:proofErr w:type="spellStart"/>
      <w:r w:rsidRPr="00861DC6">
        <w:rPr>
          <w:rFonts w:eastAsia="FX リョービ 本明朝-L"/>
          <w:lang w:val="en-GB" w:eastAsia="ja-JP"/>
        </w:rPr>
        <w:t>plass</w:t>
      </w:r>
      <w:proofErr w:type="spellEnd"/>
      <w:r w:rsidRPr="00861DC6">
        <w:rPr>
          <w:rFonts w:eastAsia="FX リョービ 本明朝-L"/>
          <w:lang w:val="en-GB" w:eastAsia="ja-JP"/>
        </w:rPr>
        <w:t xml:space="preserve"> 2E</w:t>
      </w:r>
    </w:p>
    <w:p w:rsidR="00EA571C" w:rsidRPr="00861DC6" w:rsidRDefault="00EA571C" w:rsidP="00EA571C">
      <w:pPr>
        <w:pStyle w:val="Brdtext"/>
        <w:rPr>
          <w:rFonts w:eastAsia="FX リョービ 本明朝-L"/>
          <w:lang w:val="en-GB" w:eastAsia="ja-JP"/>
        </w:rPr>
      </w:pPr>
      <w:r w:rsidRPr="00861DC6">
        <w:rPr>
          <w:rFonts w:eastAsia="FX リョービ 本明朝-L"/>
          <w:lang w:val="en-GB" w:eastAsia="ja-JP"/>
        </w:rPr>
        <w:t>N-7491 Trondheim</w:t>
      </w:r>
    </w:p>
    <w:p w:rsidR="00EA571C" w:rsidRDefault="00EA571C" w:rsidP="00EA571C">
      <w:pPr>
        <w:pStyle w:val="Brdtext"/>
        <w:rPr>
          <w:rFonts w:eastAsia="FX リョービ 本明朝-L"/>
          <w:lang w:val="en-GB" w:eastAsia="ja-JP"/>
        </w:rPr>
      </w:pPr>
      <w:r w:rsidRPr="00861DC6">
        <w:rPr>
          <w:rFonts w:eastAsia="FX リョービ 本明朝-L"/>
          <w:lang w:val="en-GB" w:eastAsia="ja-JP"/>
        </w:rPr>
        <w:t>Norway</w:t>
      </w:r>
    </w:p>
    <w:p w:rsidR="00EA571C" w:rsidRDefault="00EA571C" w:rsidP="00EA571C">
      <w:pPr>
        <w:pStyle w:val="Brdtext"/>
        <w:rPr>
          <w:rFonts w:eastAsia="FX リョービ 本明朝-L"/>
          <w:lang w:val="en-GB" w:eastAsia="ja-JP"/>
        </w:rPr>
      </w:pPr>
      <w:r>
        <w:rPr>
          <w:rFonts w:eastAsia="FX リョービ 本明朝-L"/>
          <w:lang w:val="en-GB" w:eastAsia="ja-JP"/>
        </w:rPr>
        <w:t xml:space="preserve">Tel: </w:t>
      </w:r>
      <w:r w:rsidRPr="00861DC6">
        <w:rPr>
          <w:rFonts w:eastAsia="FX リョービ 本明朝-L"/>
          <w:lang w:val="en-GB" w:eastAsia="ja-JP"/>
        </w:rPr>
        <w:t>+47 73 592383</w:t>
      </w:r>
    </w:p>
    <w:p w:rsidR="00EA571C" w:rsidRDefault="00EA571C" w:rsidP="00EA571C">
      <w:pPr>
        <w:pStyle w:val="Brdtext"/>
        <w:rPr>
          <w:rFonts w:eastAsia="FX リョービ 本明朝-L"/>
          <w:lang w:val="en-GB" w:eastAsia="ja-JP"/>
        </w:rPr>
      </w:pPr>
      <w:r>
        <w:rPr>
          <w:rFonts w:eastAsia="FX リョービ 本明朝-L"/>
          <w:lang w:val="en-GB" w:eastAsia="ja-JP"/>
        </w:rPr>
        <w:t xml:space="preserve">Fax: </w:t>
      </w:r>
      <w:r w:rsidRPr="00861DC6">
        <w:rPr>
          <w:rFonts w:eastAsia="FX リョービ 本明朝-L"/>
          <w:lang w:val="en-GB" w:eastAsia="ja-JP"/>
        </w:rPr>
        <w:t>+47 73 592640</w:t>
      </w:r>
    </w:p>
    <w:p w:rsidR="00EA571C" w:rsidRDefault="00EA571C" w:rsidP="00525379">
      <w:pPr>
        <w:jc w:val="both"/>
      </w:pPr>
    </w:p>
    <w:sectPr w:rsidR="00EA571C" w:rsidSect="00CC2169">
      <w:headerReference w:type="default" r:id="rId9"/>
      <w:footerReference w:type="even" r:id="rId10"/>
      <w:footerReference w:type="default" r:id="rId11"/>
      <w:pgSz w:w="11899" w:h="16838"/>
      <w:pgMar w:top="510"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141" w:rsidRDefault="009F0141">
      <w:r>
        <w:separator/>
      </w:r>
    </w:p>
  </w:endnote>
  <w:endnote w:type="continuationSeparator" w:id="0">
    <w:p w:rsidR="009F0141" w:rsidRDefault="009F0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nt403">
    <w:altName w:val="Times New Roman"/>
    <w:panose1 w:val="00000000000000000000"/>
    <w:charset w:val="4D"/>
    <w:family w:val="auto"/>
    <w:notTrueType/>
    <w:pitch w:val="default"/>
    <w:sig w:usb0="00000003" w:usb1="00000000" w:usb2="00000000" w:usb3="00000000" w:csb0="00000001" w:csb1="00000000"/>
  </w:font>
  <w:font w:name="FX リョービ 本明朝-L">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18" w:rsidRDefault="00E62562" w:rsidP="0002489F">
    <w:pPr>
      <w:pStyle w:val="Sidfot"/>
      <w:framePr w:wrap="auto" w:vAnchor="text" w:hAnchor="margin" w:xAlign="right" w:y="1"/>
      <w:rPr>
        <w:rStyle w:val="Sidnummer"/>
      </w:rPr>
    </w:pPr>
    <w:r>
      <w:rPr>
        <w:rStyle w:val="Sidnummer"/>
      </w:rPr>
      <w:fldChar w:fldCharType="begin"/>
    </w:r>
    <w:r w:rsidR="00A64818">
      <w:rPr>
        <w:rStyle w:val="Sidnummer"/>
      </w:rPr>
      <w:instrText xml:space="preserve">PAGE  </w:instrText>
    </w:r>
    <w:r>
      <w:rPr>
        <w:rStyle w:val="Sidnummer"/>
      </w:rPr>
      <w:fldChar w:fldCharType="end"/>
    </w:r>
  </w:p>
  <w:p w:rsidR="00A64818" w:rsidRDefault="00A64818" w:rsidP="0002489F">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18" w:rsidRDefault="00E62562" w:rsidP="0002489F">
    <w:pPr>
      <w:pStyle w:val="Sidfot"/>
      <w:framePr w:wrap="auto" w:vAnchor="text" w:hAnchor="margin" w:xAlign="right" w:y="1"/>
      <w:rPr>
        <w:rStyle w:val="Sidnummer"/>
      </w:rPr>
    </w:pPr>
    <w:r>
      <w:rPr>
        <w:rStyle w:val="Sidnummer"/>
      </w:rPr>
      <w:fldChar w:fldCharType="begin"/>
    </w:r>
    <w:r w:rsidR="00A64818">
      <w:rPr>
        <w:rStyle w:val="Sidnummer"/>
      </w:rPr>
      <w:instrText xml:space="preserve">PAGE  </w:instrText>
    </w:r>
    <w:r>
      <w:rPr>
        <w:rStyle w:val="Sidnummer"/>
      </w:rPr>
      <w:fldChar w:fldCharType="separate"/>
    </w:r>
    <w:r w:rsidR="000201B1">
      <w:rPr>
        <w:rStyle w:val="Sidnummer"/>
        <w:noProof/>
      </w:rPr>
      <w:t>2</w:t>
    </w:r>
    <w:r>
      <w:rPr>
        <w:rStyle w:val="Sidnummer"/>
      </w:rPr>
      <w:fldChar w:fldCharType="end"/>
    </w:r>
  </w:p>
  <w:p w:rsidR="00A64818" w:rsidRPr="00017967" w:rsidRDefault="00A64818" w:rsidP="00017967">
    <w:pPr>
      <w:pBdr>
        <w:top w:val="single" w:sz="4" w:space="1" w:color="auto"/>
      </w:pBdr>
      <w:spacing w:line="200" w:lineRule="atLeast"/>
      <w:ind w:right="154"/>
      <w:rPr>
        <w:rFonts w:ascii="Arial" w:hAnsi="Arial"/>
        <w:b/>
        <w:caps/>
        <w:sz w:val="16"/>
        <w:szCs w:val="16"/>
      </w:rPr>
    </w:pPr>
    <w:r w:rsidRPr="00017967">
      <w:rPr>
        <w:rFonts w:ascii="Arial" w:hAnsi="Arial"/>
        <w:b/>
        <w:caps/>
        <w:sz w:val="16"/>
        <w:szCs w:val="16"/>
      </w:rPr>
      <w:t xml:space="preserve">QUALINET – </w:t>
    </w:r>
    <w:r>
      <w:rPr>
        <w:rFonts w:ascii="Arial" w:hAnsi="Arial"/>
        <w:b/>
        <w:caps/>
        <w:sz w:val="16"/>
        <w:szCs w:val="16"/>
      </w:rPr>
      <w:t>COST ACTION IC1003</w:t>
    </w:r>
  </w:p>
  <w:p w:rsidR="00A64818" w:rsidRDefault="00A64818" w:rsidP="00017967">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141" w:rsidRDefault="009F0141">
      <w:r>
        <w:separator/>
      </w:r>
    </w:p>
  </w:footnote>
  <w:footnote w:type="continuationSeparator" w:id="0">
    <w:p w:rsidR="009F0141" w:rsidRDefault="009F0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18" w:rsidRDefault="00A64818"/>
  <w:p w:rsidR="00A64818" w:rsidRDefault="00A64818"/>
  <w:p w:rsidR="00A64818" w:rsidRDefault="00A648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B857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6EAC0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0E43AD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470AC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AA807A9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F5B6EB8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8720E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9683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ABCC2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F8EBB5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754BB54"/>
    <w:lvl w:ilvl="0">
      <w:start w:val="1"/>
      <w:numFmt w:val="bullet"/>
      <w:lvlText w:val=""/>
      <w:lvlJc w:val="left"/>
      <w:pPr>
        <w:tabs>
          <w:tab w:val="num" w:pos="360"/>
        </w:tabs>
        <w:ind w:left="360" w:hanging="360"/>
      </w:pPr>
      <w:rPr>
        <w:rFonts w:ascii="Symbol" w:hAnsi="Symbol" w:hint="default"/>
      </w:rPr>
    </w:lvl>
  </w:abstractNum>
  <w:abstractNum w:abstractNumId="11">
    <w:nsid w:val="0A52164C"/>
    <w:multiLevelType w:val="hybridMultilevel"/>
    <w:tmpl w:val="24461E74"/>
    <w:lvl w:ilvl="0" w:tplc="76EE2B1E">
      <w:numFmt w:val="bullet"/>
      <w:lvlText w:val=""/>
      <w:lvlJc w:val="left"/>
      <w:pPr>
        <w:ind w:left="720" w:hanging="360"/>
      </w:pPr>
      <w:rPr>
        <w:rFonts w:ascii="Symbol" w:eastAsia="MS ????"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20D128BD"/>
    <w:multiLevelType w:val="hybridMultilevel"/>
    <w:tmpl w:val="1C70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63909"/>
    <w:multiLevelType w:val="hybridMultilevel"/>
    <w:tmpl w:val="AAE46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94064FD"/>
    <w:multiLevelType w:val="hybridMultilevel"/>
    <w:tmpl w:val="25D6103A"/>
    <w:lvl w:ilvl="0" w:tplc="76EE2B1E">
      <w:numFmt w:val="bullet"/>
      <w:lvlText w:val=""/>
      <w:lvlJc w:val="left"/>
      <w:pPr>
        <w:ind w:left="720" w:hanging="360"/>
      </w:pPr>
      <w:rPr>
        <w:rFonts w:ascii="Symbol" w:eastAsia="MS ????"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49A618FD"/>
    <w:multiLevelType w:val="hybridMultilevel"/>
    <w:tmpl w:val="C302AD9E"/>
    <w:lvl w:ilvl="0" w:tplc="76EE2B1E">
      <w:numFmt w:val="bullet"/>
      <w:lvlText w:val=""/>
      <w:lvlJc w:val="left"/>
      <w:pPr>
        <w:ind w:left="720" w:hanging="360"/>
      </w:pPr>
      <w:rPr>
        <w:rFonts w:ascii="Symbol" w:eastAsia="MS ????"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6">
    <w:nsid w:val="624F3B6F"/>
    <w:multiLevelType w:val="hybridMultilevel"/>
    <w:tmpl w:val="9614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834BF"/>
    <w:multiLevelType w:val="hybridMultilevel"/>
    <w:tmpl w:val="6E6A6E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C5C1E27"/>
    <w:multiLevelType w:val="hybridMultilevel"/>
    <w:tmpl w:val="FE84AC92"/>
    <w:lvl w:ilvl="0" w:tplc="76EE2B1E">
      <w:numFmt w:val="bullet"/>
      <w:lvlText w:val=""/>
      <w:lvlJc w:val="left"/>
      <w:pPr>
        <w:ind w:left="720" w:hanging="360"/>
      </w:pPr>
      <w:rPr>
        <w:rFonts w:ascii="Symbol" w:eastAsia="MS ????"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5"/>
  </w:num>
  <w:num w:numId="16">
    <w:abstractNumId w:val="18"/>
  </w:num>
  <w:num w:numId="17">
    <w:abstractNumId w:val="17"/>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5071F"/>
    <w:rsid w:val="00017967"/>
    <w:rsid w:val="000201B1"/>
    <w:rsid w:val="0002489F"/>
    <w:rsid w:val="000917BE"/>
    <w:rsid w:val="000A524F"/>
    <w:rsid w:val="000A5483"/>
    <w:rsid w:val="000B315A"/>
    <w:rsid w:val="0016396E"/>
    <w:rsid w:val="001730E0"/>
    <w:rsid w:val="00174E4A"/>
    <w:rsid w:val="001751F0"/>
    <w:rsid w:val="0018596A"/>
    <w:rsid w:val="00187270"/>
    <w:rsid w:val="001E0B38"/>
    <w:rsid w:val="00201C1F"/>
    <w:rsid w:val="00224723"/>
    <w:rsid w:val="00262B79"/>
    <w:rsid w:val="00284717"/>
    <w:rsid w:val="002B4665"/>
    <w:rsid w:val="002F48B5"/>
    <w:rsid w:val="00313615"/>
    <w:rsid w:val="0039722E"/>
    <w:rsid w:val="003F573E"/>
    <w:rsid w:val="00444877"/>
    <w:rsid w:val="00445C3F"/>
    <w:rsid w:val="00450CDE"/>
    <w:rsid w:val="004B5B43"/>
    <w:rsid w:val="004D1A38"/>
    <w:rsid w:val="004F131C"/>
    <w:rsid w:val="00525379"/>
    <w:rsid w:val="00527E0C"/>
    <w:rsid w:val="00550798"/>
    <w:rsid w:val="005B771D"/>
    <w:rsid w:val="005E1C4E"/>
    <w:rsid w:val="00616646"/>
    <w:rsid w:val="00660640"/>
    <w:rsid w:val="006A09F2"/>
    <w:rsid w:val="006A22EC"/>
    <w:rsid w:val="006C772B"/>
    <w:rsid w:val="006F7C3A"/>
    <w:rsid w:val="00737C90"/>
    <w:rsid w:val="00751996"/>
    <w:rsid w:val="00793D27"/>
    <w:rsid w:val="007B4BFD"/>
    <w:rsid w:val="007D4969"/>
    <w:rsid w:val="00803462"/>
    <w:rsid w:val="00877922"/>
    <w:rsid w:val="008B763F"/>
    <w:rsid w:val="00917DE7"/>
    <w:rsid w:val="009239D6"/>
    <w:rsid w:val="00927AD5"/>
    <w:rsid w:val="00940F8A"/>
    <w:rsid w:val="0095071F"/>
    <w:rsid w:val="0096355A"/>
    <w:rsid w:val="00970815"/>
    <w:rsid w:val="0097094F"/>
    <w:rsid w:val="009C5574"/>
    <w:rsid w:val="009F0063"/>
    <w:rsid w:val="009F0141"/>
    <w:rsid w:val="00A2556C"/>
    <w:rsid w:val="00A576A5"/>
    <w:rsid w:val="00A64818"/>
    <w:rsid w:val="00AB5334"/>
    <w:rsid w:val="00AC0308"/>
    <w:rsid w:val="00AE30C6"/>
    <w:rsid w:val="00AE708F"/>
    <w:rsid w:val="00B13DFD"/>
    <w:rsid w:val="00B30F13"/>
    <w:rsid w:val="00B43D4B"/>
    <w:rsid w:val="00B72A82"/>
    <w:rsid w:val="00B807D2"/>
    <w:rsid w:val="00B91E5A"/>
    <w:rsid w:val="00C2194C"/>
    <w:rsid w:val="00C3286A"/>
    <w:rsid w:val="00C85C3B"/>
    <w:rsid w:val="00CC2169"/>
    <w:rsid w:val="00CC7007"/>
    <w:rsid w:val="00CF5C91"/>
    <w:rsid w:val="00D16E12"/>
    <w:rsid w:val="00D264EB"/>
    <w:rsid w:val="00DC28E4"/>
    <w:rsid w:val="00E31856"/>
    <w:rsid w:val="00E358FA"/>
    <w:rsid w:val="00E62562"/>
    <w:rsid w:val="00EA4E11"/>
    <w:rsid w:val="00EA571C"/>
    <w:rsid w:val="00EF447E"/>
    <w:rsid w:val="00F02CEB"/>
    <w:rsid w:val="00F04F66"/>
    <w:rsid w:val="00F342C0"/>
    <w:rsid w:val="00F34A37"/>
    <w:rsid w:val="00F911F5"/>
    <w:rsid w:val="00FB431F"/>
    <w:rsid w:val="00FC6F91"/>
    <w:rsid w:val="00FD487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31F"/>
    <w:rPr>
      <w:rFonts w:eastAsia="Times New Roman"/>
      <w:sz w:val="24"/>
      <w:lang w:val="fr-FR" w:eastAsia="en-US"/>
    </w:rPr>
  </w:style>
  <w:style w:type="paragraph" w:styleId="Rubrik1">
    <w:name w:val="heading 1"/>
    <w:basedOn w:val="Normal"/>
    <w:next w:val="Normal"/>
    <w:qFormat/>
    <w:rsid w:val="00E62562"/>
    <w:pPr>
      <w:keepNext/>
      <w:outlineLvl w:val="0"/>
    </w:pPr>
    <w:rPr>
      <w:rFonts w:ascii="Arial" w:hAnsi="Arial"/>
      <w:b/>
      <w:i/>
      <w:sz w:val="28"/>
    </w:rPr>
  </w:style>
  <w:style w:type="paragraph" w:styleId="Rubrik2">
    <w:name w:val="heading 2"/>
    <w:basedOn w:val="Normal"/>
    <w:next w:val="Normal"/>
    <w:link w:val="Rubrik2Char"/>
    <w:qFormat/>
    <w:rsid w:val="00CC7007"/>
    <w:pPr>
      <w:keepNext/>
      <w:spacing w:before="240" w:after="60"/>
      <w:outlineLvl w:val="1"/>
    </w:pPr>
    <w:rPr>
      <w:rFonts w:ascii="Cambria" w:eastAsia="MS ????"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62562"/>
    <w:pPr>
      <w:tabs>
        <w:tab w:val="center" w:pos="4320"/>
        <w:tab w:val="right" w:pos="8640"/>
      </w:tabs>
    </w:pPr>
    <w:rPr>
      <w:rFonts w:eastAsia="Times"/>
    </w:rPr>
  </w:style>
  <w:style w:type="character" w:customStyle="1" w:styleId="SidhuvudChar">
    <w:name w:val="Sidhuvud Char"/>
    <w:link w:val="Sidhuvud"/>
    <w:locked/>
    <w:rsid w:val="00E62562"/>
    <w:rPr>
      <w:sz w:val="24"/>
      <w:lang w:val="fr-FR"/>
    </w:rPr>
  </w:style>
  <w:style w:type="paragraph" w:styleId="Sidfot">
    <w:name w:val="footer"/>
    <w:basedOn w:val="Normal"/>
    <w:link w:val="SidfotChar"/>
    <w:rsid w:val="00E62562"/>
    <w:pPr>
      <w:tabs>
        <w:tab w:val="center" w:pos="4320"/>
        <w:tab w:val="right" w:pos="8640"/>
      </w:tabs>
    </w:pPr>
    <w:rPr>
      <w:rFonts w:eastAsia="Times"/>
    </w:rPr>
  </w:style>
  <w:style w:type="character" w:customStyle="1" w:styleId="SidfotChar">
    <w:name w:val="Sidfot Char"/>
    <w:link w:val="Sidfot"/>
    <w:locked/>
    <w:rsid w:val="00E62562"/>
    <w:rPr>
      <w:sz w:val="24"/>
      <w:lang w:val="fr-FR"/>
    </w:rPr>
  </w:style>
  <w:style w:type="paragraph" w:styleId="Rubrik">
    <w:name w:val="Title"/>
    <w:basedOn w:val="Normal"/>
    <w:next w:val="Normal"/>
    <w:link w:val="RubrikChar"/>
    <w:qFormat/>
    <w:rsid w:val="00CF5C91"/>
    <w:pPr>
      <w:spacing w:before="240" w:after="60"/>
      <w:jc w:val="center"/>
      <w:outlineLvl w:val="0"/>
    </w:pPr>
    <w:rPr>
      <w:rFonts w:ascii="Calibri" w:eastAsia="MS Gothic" w:hAnsi="Calibri"/>
      <w:b/>
      <w:kern w:val="28"/>
      <w:sz w:val="32"/>
    </w:rPr>
  </w:style>
  <w:style w:type="character" w:customStyle="1" w:styleId="RubrikChar">
    <w:name w:val="Rubrik Char"/>
    <w:link w:val="Rubrik"/>
    <w:locked/>
    <w:rsid w:val="00CF5C91"/>
    <w:rPr>
      <w:rFonts w:ascii="Calibri" w:eastAsia="MS Gothic" w:hAnsi="Calibri"/>
      <w:b/>
      <w:kern w:val="28"/>
      <w:sz w:val="32"/>
      <w:lang w:val="fr-FR"/>
    </w:rPr>
  </w:style>
  <w:style w:type="character" w:styleId="Sidnummer">
    <w:name w:val="page number"/>
    <w:basedOn w:val="Standardstycketeckensnitt"/>
    <w:semiHidden/>
    <w:rsid w:val="0002489F"/>
  </w:style>
  <w:style w:type="character" w:customStyle="1" w:styleId="Rubrik2Char">
    <w:name w:val="Rubrik 2 Char"/>
    <w:link w:val="Rubrik2"/>
    <w:locked/>
    <w:rsid w:val="00CC7007"/>
    <w:rPr>
      <w:rFonts w:ascii="Cambria" w:eastAsia="MS ????" w:hAnsi="Cambria" w:cs="Times New Roman"/>
      <w:b/>
      <w:bCs/>
      <w:i/>
      <w:iCs/>
      <w:sz w:val="28"/>
      <w:szCs w:val="28"/>
      <w:lang w:val="fr-FR" w:eastAsia="en-US"/>
    </w:rPr>
  </w:style>
  <w:style w:type="paragraph" w:customStyle="1" w:styleId="Mellanmrktrutnt1-dekorfrg21">
    <w:name w:val="Mellanmörkt rutnät 1 - dekorfärg 21"/>
    <w:basedOn w:val="Normal"/>
    <w:qFormat/>
    <w:rsid w:val="00CC7007"/>
    <w:pPr>
      <w:spacing w:after="200" w:line="276" w:lineRule="auto"/>
      <w:ind w:left="720"/>
    </w:pPr>
    <w:rPr>
      <w:rFonts w:ascii="Calibri" w:hAnsi="Calibri"/>
      <w:sz w:val="22"/>
      <w:szCs w:val="22"/>
      <w:lang w:val="nb-NO"/>
    </w:rPr>
  </w:style>
  <w:style w:type="character" w:styleId="Hyperlnk">
    <w:name w:val="Hyperlink"/>
    <w:rsid w:val="00CC7007"/>
    <w:rPr>
      <w:rFonts w:cs="Times New Roman"/>
      <w:color w:val="0000FF"/>
      <w:u w:val="single"/>
    </w:rPr>
  </w:style>
  <w:style w:type="paragraph" w:styleId="Ballongtext">
    <w:name w:val="Balloon Text"/>
    <w:basedOn w:val="Normal"/>
    <w:link w:val="BallongtextChar"/>
    <w:semiHidden/>
    <w:rsid w:val="009C5574"/>
    <w:rPr>
      <w:rFonts w:ascii="Tahoma" w:eastAsia="Times" w:hAnsi="Tahoma"/>
      <w:sz w:val="16"/>
      <w:szCs w:val="16"/>
    </w:rPr>
  </w:style>
  <w:style w:type="character" w:customStyle="1" w:styleId="BallongtextChar">
    <w:name w:val="Ballongtext Char"/>
    <w:link w:val="Ballongtext"/>
    <w:semiHidden/>
    <w:locked/>
    <w:rsid w:val="009C5574"/>
    <w:rPr>
      <w:rFonts w:ascii="Tahoma" w:hAnsi="Tahoma" w:cs="Tahoma"/>
      <w:sz w:val="16"/>
      <w:szCs w:val="16"/>
      <w:lang w:val="fr-FR" w:eastAsia="en-US"/>
    </w:rPr>
  </w:style>
  <w:style w:type="character" w:styleId="Kommentarsreferens">
    <w:name w:val="annotation reference"/>
    <w:rsid w:val="00DC28E4"/>
    <w:rPr>
      <w:sz w:val="16"/>
      <w:szCs w:val="16"/>
    </w:rPr>
  </w:style>
  <w:style w:type="paragraph" w:styleId="Kommentarer">
    <w:name w:val="annotation text"/>
    <w:basedOn w:val="Normal"/>
    <w:link w:val="KommentarerChar"/>
    <w:rsid w:val="00DC28E4"/>
    <w:rPr>
      <w:sz w:val="20"/>
    </w:rPr>
  </w:style>
  <w:style w:type="character" w:customStyle="1" w:styleId="KommentarerChar">
    <w:name w:val="Kommentarer Char"/>
    <w:link w:val="Kommentarer"/>
    <w:rsid w:val="00DC28E4"/>
    <w:rPr>
      <w:rFonts w:eastAsia="Times New Roman"/>
      <w:lang w:val="fr-FR"/>
    </w:rPr>
  </w:style>
  <w:style w:type="paragraph" w:styleId="Kommentarsmne">
    <w:name w:val="annotation subject"/>
    <w:basedOn w:val="Kommentarer"/>
    <w:next w:val="Kommentarer"/>
    <w:link w:val="KommentarsmneChar"/>
    <w:rsid w:val="00DC28E4"/>
    <w:rPr>
      <w:b/>
      <w:bCs/>
    </w:rPr>
  </w:style>
  <w:style w:type="character" w:customStyle="1" w:styleId="KommentarsmneChar">
    <w:name w:val="Kommentarsämne Char"/>
    <w:link w:val="Kommentarsmne"/>
    <w:rsid w:val="00DC28E4"/>
    <w:rPr>
      <w:rFonts w:eastAsia="Times New Roman"/>
      <w:b/>
      <w:bCs/>
      <w:lang w:val="fr-FR"/>
    </w:rPr>
  </w:style>
  <w:style w:type="paragraph" w:customStyle="1" w:styleId="Mellanmrklista2-dekorfrg21">
    <w:name w:val="Mellanmörk lista 2 - dekorfärg 21"/>
    <w:hidden/>
    <w:uiPriority w:val="99"/>
    <w:semiHidden/>
    <w:rsid w:val="00DC28E4"/>
    <w:rPr>
      <w:rFonts w:eastAsia="Times New Roman"/>
      <w:sz w:val="24"/>
      <w:lang w:val="fr-FR" w:eastAsia="en-US"/>
    </w:rPr>
  </w:style>
  <w:style w:type="paragraph" w:styleId="Brdtext">
    <w:name w:val="Body Text"/>
    <w:basedOn w:val="Normal"/>
    <w:link w:val="BrdtextChar"/>
    <w:rsid w:val="00EA571C"/>
    <w:pPr>
      <w:jc w:val="both"/>
    </w:pPr>
    <w:rPr>
      <w:rFonts w:ascii="Times New Roman" w:eastAsia="MS Mincho" w:hAnsi="Times New Roman"/>
      <w:szCs w:val="24"/>
      <w:lang w:val="en-US"/>
    </w:rPr>
  </w:style>
  <w:style w:type="character" w:customStyle="1" w:styleId="BrdtextChar">
    <w:name w:val="Brödtext Char"/>
    <w:link w:val="Brdtext"/>
    <w:rsid w:val="00EA571C"/>
    <w:rPr>
      <w:rFonts w:ascii="Times New Roman" w:eastAsia="MS Mincho"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aline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723</Words>
  <Characters>3832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NOM DE L'UNITE / SERVICE  (WORD 98 – NB – TIF 600)</vt:lpstr>
    </vt:vector>
  </TitlesOfParts>
  <Company>The Cryptic Corp.</Company>
  <LinksUpToDate>false</LinksUpToDate>
  <CharactersWithSpaces>4546</CharactersWithSpaces>
  <SharedDoc>false</SharedDoc>
  <HLinks>
    <vt:vector size="6" baseType="variant">
      <vt:variant>
        <vt:i4>7077913</vt:i4>
      </vt:variant>
      <vt:variant>
        <vt:i4>0</vt:i4>
      </vt:variant>
      <vt:variant>
        <vt:i4>0</vt:i4>
      </vt:variant>
      <vt:variant>
        <vt:i4>5</vt:i4>
      </vt:variant>
      <vt:variant>
        <vt:lpwstr>http://www.qualinet.eu/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L'UNITE / SERVICE  (WORD 98 – NB – TIF 600)</dc:title>
  <dc:creator>Benny The Bump</dc:creator>
  <cp:lastModifiedBy>Kjell Brunnström</cp:lastModifiedBy>
  <cp:revision>2</cp:revision>
  <cp:lastPrinted>2002-11-26T07:46:00Z</cp:lastPrinted>
  <dcterms:created xsi:type="dcterms:W3CDTF">2011-04-08T08:58:00Z</dcterms:created>
  <dcterms:modified xsi:type="dcterms:W3CDTF">2011-04-08T08:58:00Z</dcterms:modified>
</cp:coreProperties>
</file>